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F3FC3" w14:textId="77777777" w:rsidR="00FE3F8E" w:rsidRPr="00CE48CA" w:rsidRDefault="00FE3F8E" w:rsidP="00A53FFD">
      <w:pPr>
        <w:autoSpaceDE w:val="0"/>
        <w:autoSpaceDN w:val="0"/>
        <w:adjustRightInd w:val="0"/>
        <w:jc w:val="center"/>
        <w:rPr>
          <w:rFonts w:ascii="Times New Roman" w:hAnsi="Times New Roman" w:cs="Times New Roman"/>
          <w:color w:val="000000"/>
          <w:sz w:val="44"/>
          <w:szCs w:val="44"/>
          <w:lang w:val="en-GB"/>
        </w:rPr>
      </w:pPr>
      <w:r w:rsidRPr="00CE48CA">
        <w:rPr>
          <w:rFonts w:ascii="Times New Roman" w:hAnsi="Times New Roman" w:cs="Times New Roman"/>
          <w:color w:val="000000"/>
          <w:sz w:val="44"/>
          <w:szCs w:val="44"/>
          <w:lang w:val="en-GB"/>
        </w:rPr>
        <w:t>Individual Communication to the United Nations Human Rights Committee</w:t>
      </w:r>
    </w:p>
    <w:p w14:paraId="093DCCC6" w14:textId="77777777" w:rsidR="00FE3F8E" w:rsidRPr="00CE48CA" w:rsidRDefault="00B401A6" w:rsidP="00A53FFD">
      <w:pPr>
        <w:autoSpaceDE w:val="0"/>
        <w:autoSpaceDN w:val="0"/>
        <w:adjustRightInd w:val="0"/>
        <w:jc w:val="both"/>
        <w:rPr>
          <w:rFonts w:ascii="Times New Roman" w:hAnsi="Times New Roman" w:cs="Times New Roman"/>
          <w:color w:val="000000"/>
          <w:sz w:val="44"/>
          <w:szCs w:val="44"/>
          <w:lang w:val="en-GB"/>
        </w:rPr>
      </w:pPr>
      <w:r>
        <w:rPr>
          <w:rFonts w:ascii="Times New Roman" w:hAnsi="Times New Roman" w:cs="Times New Roman"/>
          <w:noProof/>
          <w:color w:val="000000"/>
          <w:sz w:val="44"/>
          <w:szCs w:val="44"/>
          <w:lang w:val="en-GB"/>
        </w:rPr>
        <w:pict w14:anchorId="4690F11D">
          <v:rect id="_x0000_i1025" alt="" style="width:468pt;height:.05pt;mso-width-percent:0;mso-height-percent:0;mso-width-percent:0;mso-height-percent:0" o:hralign="center" o:hrstd="t" o:hr="t" fillcolor="#a0a0a0" stroked="f"/>
        </w:pict>
      </w:r>
    </w:p>
    <w:p w14:paraId="22E56C7F" w14:textId="77777777" w:rsidR="00FE3F8E" w:rsidRPr="00CE48CA" w:rsidRDefault="00FE3F8E" w:rsidP="00A53FFD">
      <w:pPr>
        <w:autoSpaceDE w:val="0"/>
        <w:autoSpaceDN w:val="0"/>
        <w:adjustRightInd w:val="0"/>
        <w:jc w:val="both"/>
        <w:rPr>
          <w:rFonts w:ascii="Times New Roman" w:hAnsi="Times New Roman" w:cs="Times New Roman"/>
          <w:color w:val="000000"/>
          <w:sz w:val="22"/>
          <w:szCs w:val="22"/>
          <w:lang w:val="en-GB"/>
        </w:rPr>
      </w:pPr>
    </w:p>
    <w:p w14:paraId="56801030" w14:textId="77777777" w:rsidR="00FE3F8E" w:rsidRPr="00CE48CA" w:rsidRDefault="00FE3F8E" w:rsidP="00A53FFD">
      <w:pPr>
        <w:autoSpaceDE w:val="0"/>
        <w:autoSpaceDN w:val="0"/>
        <w:adjustRightInd w:val="0"/>
        <w:jc w:val="both"/>
        <w:rPr>
          <w:rFonts w:ascii="Times New Roman" w:hAnsi="Times New Roman" w:cs="Times New Roman"/>
          <w:color w:val="000000"/>
          <w:lang w:val="en-GB"/>
        </w:rPr>
      </w:pPr>
      <w:r w:rsidRPr="00CE48CA">
        <w:rPr>
          <w:rFonts w:ascii="Times New Roman" w:hAnsi="Times New Roman" w:cs="Times New Roman"/>
          <w:color w:val="000000"/>
          <w:lang w:val="en-GB"/>
        </w:rPr>
        <w:t>Submitted by:</w:t>
      </w:r>
      <w:r w:rsidRPr="00CE48CA">
        <w:rPr>
          <w:rFonts w:ascii="Times New Roman" w:hAnsi="Times New Roman" w:cs="Times New Roman"/>
          <w:color w:val="000000"/>
          <w:lang w:val="en-GB"/>
        </w:rPr>
        <w:tab/>
      </w:r>
      <w:r w:rsidRPr="00CE48CA">
        <w:rPr>
          <w:rFonts w:ascii="Times New Roman" w:hAnsi="Times New Roman" w:cs="Times New Roman"/>
          <w:color w:val="000000"/>
          <w:lang w:val="en-GB"/>
        </w:rPr>
        <w:tab/>
        <w:t xml:space="preserve">Ahmed </w:t>
      </w:r>
      <w:proofErr w:type="spellStart"/>
      <w:r w:rsidRPr="00CE48CA">
        <w:rPr>
          <w:rFonts w:ascii="Times New Roman" w:hAnsi="Times New Roman" w:cs="Times New Roman"/>
          <w:color w:val="000000"/>
          <w:lang w:val="en-GB"/>
        </w:rPr>
        <w:t>Tholal</w:t>
      </w:r>
      <w:proofErr w:type="spellEnd"/>
      <w:r w:rsidRPr="00CE48CA">
        <w:rPr>
          <w:rFonts w:ascii="Times New Roman" w:hAnsi="Times New Roman" w:cs="Times New Roman"/>
          <w:color w:val="000000"/>
          <w:lang w:val="en-GB"/>
        </w:rPr>
        <w:t xml:space="preserve"> and </w:t>
      </w:r>
      <w:proofErr w:type="spellStart"/>
      <w:r w:rsidRPr="00CE48CA">
        <w:rPr>
          <w:rFonts w:ascii="Times New Roman" w:hAnsi="Times New Roman" w:cs="Times New Roman"/>
          <w:color w:val="000000"/>
          <w:lang w:val="en-GB"/>
        </w:rPr>
        <w:t>Jeehan</w:t>
      </w:r>
      <w:proofErr w:type="spellEnd"/>
      <w:r w:rsidRPr="00CE48CA">
        <w:rPr>
          <w:rFonts w:ascii="Times New Roman" w:hAnsi="Times New Roman" w:cs="Times New Roman"/>
          <w:color w:val="000000"/>
          <w:lang w:val="en-GB"/>
        </w:rPr>
        <w:t xml:space="preserve"> Mahmood</w:t>
      </w:r>
    </w:p>
    <w:p w14:paraId="09F9E94B" w14:textId="77777777" w:rsidR="00A53FFD" w:rsidRPr="00CE48CA" w:rsidRDefault="00A53FFD" w:rsidP="00A53FFD">
      <w:pPr>
        <w:autoSpaceDE w:val="0"/>
        <w:autoSpaceDN w:val="0"/>
        <w:adjustRightInd w:val="0"/>
        <w:jc w:val="both"/>
        <w:rPr>
          <w:rFonts w:ascii="Times New Roman" w:hAnsi="Times New Roman" w:cs="Times New Roman"/>
          <w:color w:val="000000"/>
          <w:lang w:val="en-GB"/>
        </w:rPr>
      </w:pPr>
    </w:p>
    <w:p w14:paraId="53778C48" w14:textId="77777777" w:rsidR="00FE3F8E" w:rsidRPr="00CE48CA" w:rsidRDefault="00FE3F8E" w:rsidP="00A53FFD">
      <w:pPr>
        <w:autoSpaceDE w:val="0"/>
        <w:autoSpaceDN w:val="0"/>
        <w:adjustRightInd w:val="0"/>
        <w:jc w:val="both"/>
        <w:rPr>
          <w:rFonts w:ascii="Times New Roman" w:hAnsi="Times New Roman" w:cs="Times New Roman"/>
          <w:color w:val="000000"/>
          <w:lang w:val="en-GB"/>
        </w:rPr>
      </w:pPr>
      <w:r w:rsidRPr="00CE48CA">
        <w:rPr>
          <w:rFonts w:ascii="Times New Roman" w:hAnsi="Times New Roman" w:cs="Times New Roman"/>
          <w:color w:val="000000"/>
          <w:lang w:val="en-GB"/>
        </w:rPr>
        <w:t>State party:</w:t>
      </w:r>
      <w:r w:rsidRPr="00CE48CA">
        <w:rPr>
          <w:rFonts w:ascii="Times New Roman" w:hAnsi="Times New Roman" w:cs="Times New Roman"/>
          <w:color w:val="000000"/>
          <w:lang w:val="en-GB"/>
        </w:rPr>
        <w:tab/>
      </w:r>
      <w:r w:rsidRPr="00CE48CA">
        <w:rPr>
          <w:rFonts w:ascii="Times New Roman" w:hAnsi="Times New Roman" w:cs="Times New Roman"/>
          <w:color w:val="000000"/>
          <w:lang w:val="en-GB"/>
        </w:rPr>
        <w:tab/>
        <w:t>Republic of Maldives</w:t>
      </w:r>
    </w:p>
    <w:p w14:paraId="2C4D7C2D" w14:textId="77777777" w:rsidR="00A53FFD" w:rsidRPr="00CE48CA" w:rsidRDefault="00A53FFD" w:rsidP="00A53FFD">
      <w:pPr>
        <w:autoSpaceDE w:val="0"/>
        <w:autoSpaceDN w:val="0"/>
        <w:adjustRightInd w:val="0"/>
        <w:jc w:val="both"/>
        <w:rPr>
          <w:rFonts w:ascii="Times New Roman" w:hAnsi="Times New Roman" w:cs="Times New Roman"/>
          <w:color w:val="000000"/>
          <w:lang w:val="en-GB"/>
        </w:rPr>
      </w:pPr>
    </w:p>
    <w:p w14:paraId="33A191E8" w14:textId="714BE1F1" w:rsidR="00FE3F8E" w:rsidRPr="00CE48CA" w:rsidRDefault="00FE3F8E" w:rsidP="00A53FFD">
      <w:pPr>
        <w:autoSpaceDE w:val="0"/>
        <w:autoSpaceDN w:val="0"/>
        <w:adjustRightInd w:val="0"/>
        <w:jc w:val="both"/>
        <w:rPr>
          <w:rFonts w:ascii="Times New Roman" w:hAnsi="Times New Roman" w:cs="Times New Roman"/>
          <w:color w:val="000000"/>
          <w:lang w:val="en-GB"/>
        </w:rPr>
      </w:pPr>
      <w:r w:rsidRPr="00CE48CA">
        <w:rPr>
          <w:rFonts w:ascii="Times New Roman" w:hAnsi="Times New Roman" w:cs="Times New Roman"/>
          <w:color w:val="000000"/>
          <w:lang w:val="en-GB"/>
        </w:rPr>
        <w:t>Date of submission:</w:t>
      </w:r>
      <w:r w:rsidRPr="00CE48CA">
        <w:rPr>
          <w:rFonts w:ascii="Times New Roman" w:hAnsi="Times New Roman" w:cs="Times New Roman"/>
          <w:color w:val="000000"/>
          <w:lang w:val="en-GB"/>
        </w:rPr>
        <w:tab/>
        <w:t xml:space="preserve">June </w:t>
      </w:r>
      <w:r w:rsidR="00F64F99">
        <w:rPr>
          <w:rFonts w:ascii="Times New Roman" w:hAnsi="Times New Roman" w:cs="Times New Roman"/>
          <w:color w:val="000000"/>
          <w:lang w:val="en-GB"/>
        </w:rPr>
        <w:t>4</w:t>
      </w:r>
      <w:bookmarkStart w:id="0" w:name="_GoBack"/>
      <w:bookmarkEnd w:id="0"/>
      <w:r w:rsidRPr="00CE48CA">
        <w:rPr>
          <w:rFonts w:ascii="Times New Roman" w:hAnsi="Times New Roman" w:cs="Times New Roman"/>
          <w:color w:val="000000"/>
          <w:lang w:val="en-GB"/>
        </w:rPr>
        <w:t>, 2019</w:t>
      </w:r>
    </w:p>
    <w:p w14:paraId="586736AA" w14:textId="77777777" w:rsidR="00FE3F8E" w:rsidRPr="00CE48CA" w:rsidRDefault="00FE3F8E" w:rsidP="00A53FFD">
      <w:pPr>
        <w:autoSpaceDE w:val="0"/>
        <w:autoSpaceDN w:val="0"/>
        <w:adjustRightInd w:val="0"/>
        <w:jc w:val="both"/>
        <w:rPr>
          <w:rFonts w:ascii="Times New Roman" w:hAnsi="Times New Roman" w:cs="Times New Roman"/>
          <w:color w:val="000000"/>
          <w:lang w:val="en-GB"/>
        </w:rPr>
      </w:pPr>
    </w:p>
    <w:p w14:paraId="0AA8F93E" w14:textId="77777777" w:rsidR="00FE3F8E" w:rsidRPr="00CE48CA" w:rsidRDefault="00FE3F8E" w:rsidP="00A53FFD">
      <w:pPr>
        <w:autoSpaceDE w:val="0"/>
        <w:autoSpaceDN w:val="0"/>
        <w:adjustRightInd w:val="0"/>
        <w:ind w:left="2160" w:hanging="2160"/>
        <w:jc w:val="both"/>
        <w:rPr>
          <w:rFonts w:ascii="Times New Roman" w:hAnsi="Times New Roman" w:cs="Times New Roman"/>
          <w:color w:val="000000"/>
          <w:lang w:val="en-GB"/>
        </w:rPr>
      </w:pPr>
      <w:r w:rsidRPr="00CE48CA">
        <w:rPr>
          <w:rFonts w:ascii="Times New Roman" w:hAnsi="Times New Roman" w:cs="Times New Roman"/>
          <w:color w:val="000000"/>
          <w:lang w:val="en-GB"/>
        </w:rPr>
        <w:t>Claim:</w:t>
      </w:r>
      <w:r w:rsidRPr="00CE48CA">
        <w:rPr>
          <w:rFonts w:ascii="Times New Roman" w:hAnsi="Times New Roman" w:cs="Times New Roman"/>
          <w:color w:val="000000"/>
          <w:lang w:val="en-GB"/>
        </w:rPr>
        <w:tab/>
        <w:t>The Republic of the Maldives has violated its human rights obligations under Article 19(2) and (3) of the International Covenant on Civil and Political Rights</w:t>
      </w:r>
    </w:p>
    <w:p w14:paraId="0F6E7F11" w14:textId="77777777" w:rsidR="00FE3F8E" w:rsidRPr="00CE48CA" w:rsidRDefault="00FE3F8E" w:rsidP="00A53FFD">
      <w:pPr>
        <w:autoSpaceDE w:val="0"/>
        <w:autoSpaceDN w:val="0"/>
        <w:adjustRightInd w:val="0"/>
        <w:jc w:val="both"/>
        <w:rPr>
          <w:rFonts w:ascii="Times New Roman" w:hAnsi="Times New Roman" w:cs="Times New Roman"/>
          <w:color w:val="000000"/>
          <w:lang w:val="en-GB"/>
        </w:rPr>
      </w:pPr>
    </w:p>
    <w:p w14:paraId="1D0D63DA" w14:textId="77777777" w:rsidR="00FE3F8E" w:rsidRPr="00CE48CA" w:rsidRDefault="00FE3F8E" w:rsidP="00A53FFD">
      <w:pPr>
        <w:autoSpaceDE w:val="0"/>
        <w:autoSpaceDN w:val="0"/>
        <w:adjustRightInd w:val="0"/>
        <w:ind w:left="2160" w:hanging="2160"/>
        <w:jc w:val="both"/>
        <w:rPr>
          <w:rFonts w:ascii="Times New Roman" w:hAnsi="Times New Roman" w:cs="Times New Roman"/>
          <w:color w:val="000000"/>
          <w:lang w:val="en-GB"/>
        </w:rPr>
      </w:pPr>
      <w:r w:rsidRPr="00CE48CA">
        <w:rPr>
          <w:rFonts w:ascii="Times New Roman" w:hAnsi="Times New Roman" w:cs="Times New Roman"/>
          <w:color w:val="000000"/>
          <w:lang w:val="en-GB"/>
        </w:rPr>
        <w:t>Application:</w:t>
      </w:r>
      <w:r w:rsidRPr="00CE48CA">
        <w:rPr>
          <w:rFonts w:ascii="Times New Roman" w:hAnsi="Times New Roman" w:cs="Times New Roman"/>
          <w:color w:val="000000"/>
          <w:lang w:val="en-GB"/>
        </w:rPr>
        <w:tab/>
        <w:t>To the United Nations Human Rights Committee under Article 1 of the Optional Protocol to the International Covenant on Civil and Political Rights</w:t>
      </w:r>
    </w:p>
    <w:p w14:paraId="25BC7046" w14:textId="77777777" w:rsidR="00FE3F8E" w:rsidRPr="00CE48CA" w:rsidRDefault="00FE3F8E" w:rsidP="00A53FFD">
      <w:pPr>
        <w:autoSpaceDE w:val="0"/>
        <w:autoSpaceDN w:val="0"/>
        <w:adjustRightInd w:val="0"/>
        <w:ind w:left="2160" w:hanging="2160"/>
        <w:jc w:val="both"/>
        <w:rPr>
          <w:rFonts w:ascii="Times New Roman" w:hAnsi="Times New Roman" w:cs="Times New Roman"/>
          <w:color w:val="000000"/>
          <w:lang w:val="en-GB"/>
        </w:rPr>
      </w:pPr>
    </w:p>
    <w:p w14:paraId="492BEB3F" w14:textId="77777777" w:rsidR="00FE3F8E" w:rsidRPr="00CE48CA" w:rsidRDefault="00FE3F8E" w:rsidP="00A53FFD">
      <w:pPr>
        <w:autoSpaceDE w:val="0"/>
        <w:autoSpaceDN w:val="0"/>
        <w:adjustRightInd w:val="0"/>
        <w:ind w:left="2160" w:hanging="2160"/>
        <w:jc w:val="both"/>
        <w:rPr>
          <w:rFonts w:ascii="Times New Roman" w:hAnsi="Times New Roman" w:cs="Times New Roman"/>
          <w:color w:val="000000"/>
          <w:lang w:val="en-GB"/>
        </w:rPr>
      </w:pPr>
      <w:r w:rsidRPr="00CE48CA">
        <w:rPr>
          <w:rFonts w:ascii="Times New Roman" w:hAnsi="Times New Roman" w:cs="Times New Roman"/>
          <w:color w:val="000000"/>
          <w:lang w:val="en-GB"/>
        </w:rPr>
        <w:t>Residence:</w:t>
      </w:r>
      <w:r w:rsidRPr="00CE48CA">
        <w:rPr>
          <w:rFonts w:ascii="Times New Roman" w:hAnsi="Times New Roman" w:cs="Times New Roman"/>
          <w:color w:val="000000"/>
          <w:lang w:val="en-GB"/>
        </w:rPr>
        <w:tab/>
        <w:t xml:space="preserve">Ahmed </w:t>
      </w:r>
      <w:proofErr w:type="spellStart"/>
      <w:r w:rsidRPr="00CE48CA">
        <w:rPr>
          <w:rFonts w:ascii="Times New Roman" w:hAnsi="Times New Roman" w:cs="Times New Roman"/>
          <w:color w:val="000000"/>
          <w:lang w:val="en-GB"/>
        </w:rPr>
        <w:t>Tholal</w:t>
      </w:r>
      <w:proofErr w:type="spellEnd"/>
      <w:r w:rsidRPr="00CE48CA">
        <w:rPr>
          <w:rFonts w:ascii="Times New Roman" w:hAnsi="Times New Roman" w:cs="Times New Roman"/>
          <w:color w:val="000000"/>
          <w:lang w:val="en-GB"/>
        </w:rPr>
        <w:t xml:space="preserve"> and </w:t>
      </w:r>
      <w:proofErr w:type="spellStart"/>
      <w:r w:rsidRPr="00CE48CA">
        <w:rPr>
          <w:rFonts w:ascii="Times New Roman" w:hAnsi="Times New Roman" w:cs="Times New Roman"/>
          <w:color w:val="000000"/>
          <w:lang w:val="en-GB"/>
        </w:rPr>
        <w:t>Jeehan</w:t>
      </w:r>
      <w:proofErr w:type="spellEnd"/>
      <w:r w:rsidRPr="00CE48CA">
        <w:rPr>
          <w:rFonts w:ascii="Times New Roman" w:hAnsi="Times New Roman" w:cs="Times New Roman"/>
          <w:color w:val="000000"/>
          <w:lang w:val="en-GB"/>
        </w:rPr>
        <w:t xml:space="preserve"> Mahmood were at all material times residents of the Republic of the Maldives</w:t>
      </w:r>
    </w:p>
    <w:p w14:paraId="34ECA41B" w14:textId="77777777" w:rsidR="00FE3F8E" w:rsidRPr="00CE48CA" w:rsidRDefault="00FE3F8E" w:rsidP="00A53FFD">
      <w:pPr>
        <w:autoSpaceDE w:val="0"/>
        <w:autoSpaceDN w:val="0"/>
        <w:adjustRightInd w:val="0"/>
        <w:ind w:left="2160" w:hanging="2160"/>
        <w:jc w:val="both"/>
        <w:rPr>
          <w:rFonts w:ascii="Times New Roman" w:hAnsi="Times New Roman" w:cs="Times New Roman"/>
          <w:color w:val="000000"/>
          <w:lang w:val="en-GB"/>
        </w:rPr>
      </w:pPr>
    </w:p>
    <w:p w14:paraId="75607FF0" w14:textId="77777777" w:rsidR="00FE3F8E" w:rsidRPr="00CE48CA" w:rsidRDefault="00FE3F8E" w:rsidP="00A53FFD">
      <w:pPr>
        <w:autoSpaceDE w:val="0"/>
        <w:autoSpaceDN w:val="0"/>
        <w:adjustRightInd w:val="0"/>
        <w:jc w:val="both"/>
        <w:rPr>
          <w:rFonts w:ascii="Times New Roman" w:hAnsi="Times New Roman" w:cs="Times New Roman"/>
          <w:color w:val="000000"/>
          <w:lang w:val="en-GB"/>
        </w:rPr>
      </w:pPr>
      <w:r w:rsidRPr="00CE48CA">
        <w:rPr>
          <w:rFonts w:ascii="Times New Roman" w:hAnsi="Times New Roman" w:cs="Times New Roman"/>
          <w:color w:val="000000"/>
          <w:lang w:val="en-GB"/>
        </w:rPr>
        <w:t>Address for service:</w:t>
      </w:r>
      <w:r w:rsidRPr="00CE48CA">
        <w:rPr>
          <w:rFonts w:ascii="Times New Roman" w:hAnsi="Times New Roman" w:cs="Times New Roman"/>
          <w:color w:val="000000"/>
          <w:lang w:val="en-GB"/>
        </w:rPr>
        <w:tab/>
        <w:t>International Service for Human Rights (ISHR)</w:t>
      </w:r>
    </w:p>
    <w:p w14:paraId="12191C1E" w14:textId="77777777" w:rsidR="00FE3F8E" w:rsidRPr="00CE48CA" w:rsidRDefault="00FE3F8E" w:rsidP="00A53FFD">
      <w:pPr>
        <w:autoSpaceDE w:val="0"/>
        <w:autoSpaceDN w:val="0"/>
        <w:adjustRightInd w:val="0"/>
        <w:ind w:left="1440" w:firstLine="720"/>
        <w:jc w:val="both"/>
        <w:rPr>
          <w:rFonts w:ascii="Times New Roman" w:hAnsi="Times New Roman" w:cs="Times New Roman"/>
          <w:color w:val="000000"/>
          <w:lang w:val="en-GB"/>
        </w:rPr>
      </w:pPr>
      <w:r w:rsidRPr="00CE48CA">
        <w:rPr>
          <w:rFonts w:ascii="Times New Roman" w:hAnsi="Times New Roman" w:cs="Times New Roman"/>
          <w:color w:val="000000"/>
          <w:lang w:val="en-GB"/>
        </w:rPr>
        <w:t xml:space="preserve">Rue de </w:t>
      </w:r>
      <w:proofErr w:type="spellStart"/>
      <w:r w:rsidRPr="00CE48CA">
        <w:rPr>
          <w:rFonts w:ascii="Times New Roman" w:hAnsi="Times New Roman" w:cs="Times New Roman"/>
          <w:color w:val="000000"/>
          <w:lang w:val="en-GB"/>
        </w:rPr>
        <w:t>Varembé</w:t>
      </w:r>
      <w:proofErr w:type="spellEnd"/>
      <w:r w:rsidRPr="00CE48CA">
        <w:rPr>
          <w:rFonts w:ascii="Times New Roman" w:hAnsi="Times New Roman" w:cs="Times New Roman"/>
          <w:color w:val="000000"/>
          <w:lang w:val="en-GB"/>
        </w:rPr>
        <w:t xml:space="preserve"> 1</w:t>
      </w:r>
    </w:p>
    <w:p w14:paraId="68585D2C" w14:textId="77777777" w:rsidR="00FE3F8E" w:rsidRPr="00CE48CA" w:rsidRDefault="00FE3F8E" w:rsidP="00A53FFD">
      <w:pPr>
        <w:autoSpaceDE w:val="0"/>
        <w:autoSpaceDN w:val="0"/>
        <w:adjustRightInd w:val="0"/>
        <w:ind w:left="1440" w:firstLine="720"/>
        <w:jc w:val="both"/>
        <w:rPr>
          <w:rFonts w:ascii="Times New Roman" w:hAnsi="Times New Roman" w:cs="Times New Roman"/>
          <w:color w:val="000000"/>
          <w:lang w:val="en-GB"/>
        </w:rPr>
      </w:pPr>
      <w:r w:rsidRPr="00CE48CA">
        <w:rPr>
          <w:rFonts w:ascii="Times New Roman" w:hAnsi="Times New Roman" w:cs="Times New Roman"/>
          <w:color w:val="000000"/>
          <w:lang w:val="en-GB"/>
        </w:rPr>
        <w:t>P.O. Box 16</w:t>
      </w:r>
    </w:p>
    <w:p w14:paraId="20FB5C9E" w14:textId="77777777" w:rsidR="00FE3F8E" w:rsidRPr="00CE48CA" w:rsidRDefault="00FE3F8E" w:rsidP="00A53FFD">
      <w:pPr>
        <w:autoSpaceDE w:val="0"/>
        <w:autoSpaceDN w:val="0"/>
        <w:adjustRightInd w:val="0"/>
        <w:ind w:left="1440" w:firstLine="720"/>
        <w:jc w:val="both"/>
        <w:rPr>
          <w:rFonts w:ascii="Times New Roman" w:hAnsi="Times New Roman" w:cs="Times New Roman"/>
          <w:color w:val="000000"/>
          <w:lang w:val="en-GB"/>
        </w:rPr>
      </w:pPr>
      <w:r w:rsidRPr="00CE48CA">
        <w:rPr>
          <w:rFonts w:ascii="Times New Roman" w:hAnsi="Times New Roman" w:cs="Times New Roman"/>
          <w:color w:val="000000"/>
          <w:lang w:val="en-GB"/>
        </w:rPr>
        <w:t>CH-1211 Geneva 20 CIC</w:t>
      </w:r>
    </w:p>
    <w:p w14:paraId="661CE7FF" w14:textId="77777777" w:rsidR="00FE3F8E" w:rsidRPr="00CE48CA" w:rsidRDefault="00FE3F8E" w:rsidP="00A53FFD">
      <w:pPr>
        <w:autoSpaceDE w:val="0"/>
        <w:autoSpaceDN w:val="0"/>
        <w:adjustRightInd w:val="0"/>
        <w:ind w:left="1440" w:firstLine="720"/>
        <w:jc w:val="both"/>
        <w:rPr>
          <w:rFonts w:ascii="Times New Roman" w:hAnsi="Times New Roman" w:cs="Times New Roman"/>
          <w:color w:val="000000"/>
          <w:lang w:val="en-GB"/>
        </w:rPr>
      </w:pPr>
      <w:r w:rsidRPr="00CE48CA">
        <w:rPr>
          <w:rFonts w:ascii="Times New Roman" w:hAnsi="Times New Roman" w:cs="Times New Roman"/>
          <w:color w:val="000000"/>
          <w:lang w:val="en-GB"/>
        </w:rPr>
        <w:t>Switzerland</w:t>
      </w:r>
    </w:p>
    <w:p w14:paraId="7DFD103A" w14:textId="77777777" w:rsidR="00FE3F8E" w:rsidRPr="00CE48CA" w:rsidRDefault="00B401A6" w:rsidP="00A53FFD">
      <w:pPr>
        <w:autoSpaceDE w:val="0"/>
        <w:autoSpaceDN w:val="0"/>
        <w:adjustRightInd w:val="0"/>
        <w:ind w:left="1440" w:firstLine="720"/>
        <w:jc w:val="both"/>
        <w:rPr>
          <w:rFonts w:ascii="Times New Roman" w:hAnsi="Times New Roman" w:cs="Times New Roman"/>
          <w:color w:val="0563C2"/>
          <w:lang w:val="en-GB"/>
        </w:rPr>
      </w:pPr>
      <w:hyperlink r:id="rId7" w:history="1">
        <w:r w:rsidR="00FE3F8E" w:rsidRPr="00CE48CA">
          <w:rPr>
            <w:rStyle w:val="Hyperlink"/>
            <w:rFonts w:ascii="Times New Roman" w:hAnsi="Times New Roman" w:cs="Times New Roman"/>
            <w:lang w:val="en-GB"/>
          </w:rPr>
          <w:t>m.sinclair@ishr.ch</w:t>
        </w:r>
      </w:hyperlink>
    </w:p>
    <w:p w14:paraId="7064852B" w14:textId="77777777" w:rsidR="00FE3F8E" w:rsidRPr="00CE48CA" w:rsidRDefault="00FE3F8E" w:rsidP="00A53FFD">
      <w:pPr>
        <w:autoSpaceDE w:val="0"/>
        <w:autoSpaceDN w:val="0"/>
        <w:adjustRightInd w:val="0"/>
        <w:ind w:left="1440" w:firstLine="720"/>
        <w:jc w:val="both"/>
        <w:rPr>
          <w:rFonts w:ascii="Times New Roman" w:hAnsi="Times New Roman" w:cs="Times New Roman"/>
          <w:color w:val="0563C2"/>
          <w:lang w:val="en-GB"/>
        </w:rPr>
      </w:pPr>
    </w:p>
    <w:p w14:paraId="5B55A573" w14:textId="77777777" w:rsidR="00FE3F8E" w:rsidRPr="00CE48CA" w:rsidRDefault="00FE3F8E" w:rsidP="00A53FFD">
      <w:pPr>
        <w:autoSpaceDE w:val="0"/>
        <w:autoSpaceDN w:val="0"/>
        <w:adjustRightInd w:val="0"/>
        <w:jc w:val="both"/>
        <w:rPr>
          <w:rFonts w:ascii="Times New Roman" w:hAnsi="Times New Roman" w:cs="Times New Roman"/>
          <w:color w:val="000000"/>
          <w:lang w:val="en-GB"/>
        </w:rPr>
      </w:pPr>
      <w:r w:rsidRPr="00CE48CA">
        <w:rPr>
          <w:rFonts w:ascii="Times New Roman" w:hAnsi="Times New Roman" w:cs="Times New Roman"/>
          <w:color w:val="000000"/>
          <w:lang w:val="en-GB"/>
        </w:rPr>
        <w:t xml:space="preserve">Counsel: </w:t>
      </w:r>
      <w:r w:rsidRPr="00CE48CA">
        <w:rPr>
          <w:rFonts w:ascii="Times New Roman" w:hAnsi="Times New Roman" w:cs="Times New Roman"/>
          <w:color w:val="000000"/>
          <w:lang w:val="en-GB"/>
        </w:rPr>
        <w:tab/>
      </w:r>
      <w:r w:rsidRPr="00CE48CA">
        <w:rPr>
          <w:rFonts w:ascii="Times New Roman" w:hAnsi="Times New Roman" w:cs="Times New Roman"/>
          <w:color w:val="000000"/>
          <w:lang w:val="en-GB"/>
        </w:rPr>
        <w:tab/>
        <w:t>Madeleine Sinclair</w:t>
      </w:r>
    </w:p>
    <w:p w14:paraId="7FB91D17" w14:textId="77777777" w:rsidR="00FE3F8E" w:rsidRPr="00CE48CA" w:rsidRDefault="00FE3F8E" w:rsidP="00A53FFD">
      <w:pPr>
        <w:ind w:left="1440" w:firstLine="720"/>
        <w:jc w:val="both"/>
        <w:rPr>
          <w:rFonts w:ascii="Times New Roman" w:hAnsi="Times New Roman" w:cs="Times New Roman"/>
          <w:color w:val="000000"/>
          <w:lang w:val="en-GB"/>
        </w:rPr>
      </w:pPr>
      <w:r w:rsidRPr="00CE48CA">
        <w:rPr>
          <w:rFonts w:ascii="Times New Roman" w:hAnsi="Times New Roman" w:cs="Times New Roman"/>
          <w:color w:val="000000"/>
          <w:lang w:val="en-GB"/>
        </w:rPr>
        <w:t>New York Office Director and Legal Counsel, ISHR</w:t>
      </w:r>
    </w:p>
    <w:p w14:paraId="7B9E0645" w14:textId="77777777" w:rsidR="00FE3F8E" w:rsidRPr="00CE48CA" w:rsidRDefault="00FE3F8E" w:rsidP="00A53FFD">
      <w:pPr>
        <w:jc w:val="both"/>
        <w:rPr>
          <w:rFonts w:ascii="Times New Roman" w:hAnsi="Times New Roman" w:cs="Times New Roman"/>
          <w:color w:val="000000"/>
          <w:lang w:val="en-GB"/>
        </w:rPr>
      </w:pPr>
      <w:r w:rsidRPr="00CE48CA">
        <w:rPr>
          <w:rFonts w:ascii="Times New Roman" w:hAnsi="Times New Roman" w:cs="Times New Roman"/>
          <w:color w:val="000000"/>
          <w:lang w:val="en-GB"/>
        </w:rPr>
        <w:br w:type="page"/>
      </w:r>
    </w:p>
    <w:p w14:paraId="78637C46" w14:textId="77777777" w:rsidR="00CA1E96" w:rsidRPr="00B138DF" w:rsidRDefault="00FE3F8E" w:rsidP="00A53FFD">
      <w:pPr>
        <w:autoSpaceDE w:val="0"/>
        <w:autoSpaceDN w:val="0"/>
        <w:adjustRightInd w:val="0"/>
        <w:jc w:val="center"/>
        <w:rPr>
          <w:rFonts w:ascii="Times New Roman" w:hAnsi="Times New Roman" w:cs="Times New Roman"/>
          <w:color w:val="000000"/>
          <w:sz w:val="44"/>
          <w:szCs w:val="44"/>
          <w:lang w:val="en-GB"/>
        </w:rPr>
      </w:pPr>
      <w:r w:rsidRPr="00B138DF">
        <w:rPr>
          <w:rFonts w:ascii="Times New Roman" w:hAnsi="Times New Roman" w:cs="Times New Roman"/>
          <w:color w:val="000000"/>
          <w:sz w:val="44"/>
          <w:szCs w:val="44"/>
          <w:lang w:val="en-GB"/>
        </w:rPr>
        <w:lastRenderedPageBreak/>
        <w:t>Table of Contents</w:t>
      </w:r>
    </w:p>
    <w:p w14:paraId="1BA38956" w14:textId="77777777" w:rsidR="00FE3F8E" w:rsidRPr="00B138DF" w:rsidRDefault="00FE3F8E" w:rsidP="00A53FFD">
      <w:pPr>
        <w:jc w:val="both"/>
        <w:rPr>
          <w:rFonts w:ascii="Times New Roman" w:hAnsi="Times New Roman" w:cs="Times New Roman"/>
          <w:lang w:val="en-GB"/>
        </w:rPr>
      </w:pPr>
    </w:p>
    <w:p w14:paraId="6BD85E1D" w14:textId="77777777" w:rsidR="00FE3F8E" w:rsidRPr="00B138DF" w:rsidRDefault="00FE3F8E" w:rsidP="00A53FFD">
      <w:pPr>
        <w:jc w:val="both"/>
        <w:rPr>
          <w:rFonts w:ascii="Times New Roman" w:hAnsi="Times New Roman" w:cs="Times New Roman"/>
          <w:lang w:val="en-GB"/>
        </w:rPr>
      </w:pPr>
    </w:p>
    <w:p w14:paraId="2A71562A" w14:textId="53940084" w:rsidR="00122722" w:rsidRDefault="00A53FFD">
      <w:pPr>
        <w:pStyle w:val="TOC1"/>
        <w:tabs>
          <w:tab w:val="right" w:leader="dot" w:pos="9350"/>
        </w:tabs>
        <w:rPr>
          <w:rFonts w:eastAsiaTheme="minorEastAsia"/>
          <w:noProof/>
        </w:rPr>
      </w:pPr>
      <w:r w:rsidRPr="00B138DF">
        <w:rPr>
          <w:rFonts w:ascii="Times New Roman" w:hAnsi="Times New Roman" w:cs="Times New Roman"/>
          <w:lang w:val="en-GB"/>
        </w:rPr>
        <w:fldChar w:fldCharType="begin"/>
      </w:r>
      <w:r w:rsidRPr="00B138DF">
        <w:rPr>
          <w:rFonts w:ascii="Times New Roman" w:hAnsi="Times New Roman" w:cs="Times New Roman"/>
          <w:lang w:val="en-GB"/>
        </w:rPr>
        <w:instrText xml:space="preserve"> TOC \o "1-3" \h \z \u </w:instrText>
      </w:r>
      <w:r w:rsidRPr="00B138DF">
        <w:rPr>
          <w:rFonts w:ascii="Times New Roman" w:hAnsi="Times New Roman" w:cs="Times New Roman"/>
          <w:lang w:val="en-GB"/>
        </w:rPr>
        <w:fldChar w:fldCharType="separate"/>
      </w:r>
      <w:hyperlink w:anchor="_Toc10540854" w:history="1">
        <w:r w:rsidR="00122722" w:rsidRPr="00340F06">
          <w:rPr>
            <w:rStyle w:val="Hyperlink"/>
            <w:rFonts w:ascii="Times New Roman" w:hAnsi="Times New Roman" w:cs="Times New Roman"/>
            <w:noProof/>
            <w:lang w:val="en-GB"/>
          </w:rPr>
          <w:t>Introduction</w:t>
        </w:r>
        <w:r w:rsidR="00122722">
          <w:rPr>
            <w:noProof/>
            <w:webHidden/>
          </w:rPr>
          <w:tab/>
        </w:r>
        <w:r w:rsidR="00122722">
          <w:rPr>
            <w:noProof/>
            <w:webHidden/>
          </w:rPr>
          <w:fldChar w:fldCharType="begin"/>
        </w:r>
        <w:r w:rsidR="00122722">
          <w:rPr>
            <w:noProof/>
            <w:webHidden/>
          </w:rPr>
          <w:instrText xml:space="preserve"> PAGEREF _Toc10540854 \h </w:instrText>
        </w:r>
        <w:r w:rsidR="00122722">
          <w:rPr>
            <w:noProof/>
            <w:webHidden/>
          </w:rPr>
        </w:r>
        <w:r w:rsidR="00122722">
          <w:rPr>
            <w:noProof/>
            <w:webHidden/>
          </w:rPr>
          <w:fldChar w:fldCharType="separate"/>
        </w:r>
        <w:r w:rsidR="00122722">
          <w:rPr>
            <w:noProof/>
            <w:webHidden/>
          </w:rPr>
          <w:t>3</w:t>
        </w:r>
        <w:r w:rsidR="00122722">
          <w:rPr>
            <w:noProof/>
            <w:webHidden/>
          </w:rPr>
          <w:fldChar w:fldCharType="end"/>
        </w:r>
      </w:hyperlink>
    </w:p>
    <w:p w14:paraId="59036172" w14:textId="473E58DD" w:rsidR="00122722" w:rsidRDefault="00122722">
      <w:pPr>
        <w:pStyle w:val="TOC1"/>
        <w:tabs>
          <w:tab w:val="right" w:leader="dot" w:pos="9350"/>
        </w:tabs>
        <w:rPr>
          <w:rFonts w:eastAsiaTheme="minorEastAsia"/>
          <w:noProof/>
        </w:rPr>
      </w:pPr>
      <w:hyperlink w:anchor="_Toc10540855" w:history="1">
        <w:r w:rsidRPr="00340F06">
          <w:rPr>
            <w:rStyle w:val="Hyperlink"/>
            <w:rFonts w:ascii="Times New Roman" w:hAnsi="Times New Roman" w:cs="Times New Roman"/>
            <w:noProof/>
            <w:lang w:val="en-GB"/>
          </w:rPr>
          <w:t>Summary of the Communication</w:t>
        </w:r>
        <w:r>
          <w:rPr>
            <w:noProof/>
            <w:webHidden/>
          </w:rPr>
          <w:tab/>
        </w:r>
        <w:r>
          <w:rPr>
            <w:noProof/>
            <w:webHidden/>
          </w:rPr>
          <w:fldChar w:fldCharType="begin"/>
        </w:r>
        <w:r>
          <w:rPr>
            <w:noProof/>
            <w:webHidden/>
          </w:rPr>
          <w:instrText xml:space="preserve"> PAGEREF _Toc10540855 \h </w:instrText>
        </w:r>
        <w:r>
          <w:rPr>
            <w:noProof/>
            <w:webHidden/>
          </w:rPr>
        </w:r>
        <w:r>
          <w:rPr>
            <w:noProof/>
            <w:webHidden/>
          </w:rPr>
          <w:fldChar w:fldCharType="separate"/>
        </w:r>
        <w:r>
          <w:rPr>
            <w:noProof/>
            <w:webHidden/>
          </w:rPr>
          <w:t>3</w:t>
        </w:r>
        <w:r>
          <w:rPr>
            <w:noProof/>
            <w:webHidden/>
          </w:rPr>
          <w:fldChar w:fldCharType="end"/>
        </w:r>
      </w:hyperlink>
    </w:p>
    <w:p w14:paraId="71BE4A99" w14:textId="0642E0E1" w:rsidR="00122722" w:rsidRDefault="00122722">
      <w:pPr>
        <w:pStyle w:val="TOC1"/>
        <w:tabs>
          <w:tab w:val="right" w:leader="dot" w:pos="9350"/>
        </w:tabs>
        <w:rPr>
          <w:rFonts w:eastAsiaTheme="minorEastAsia"/>
          <w:noProof/>
        </w:rPr>
      </w:pPr>
      <w:hyperlink w:anchor="_Toc10540856" w:history="1">
        <w:r w:rsidRPr="00340F06">
          <w:rPr>
            <w:rStyle w:val="Hyperlink"/>
            <w:rFonts w:ascii="Times New Roman" w:hAnsi="Times New Roman" w:cs="Times New Roman"/>
            <w:noProof/>
            <w:lang w:val="en-GB"/>
          </w:rPr>
          <w:t>Submissions on law and merits of claim</w:t>
        </w:r>
        <w:r>
          <w:rPr>
            <w:noProof/>
            <w:webHidden/>
          </w:rPr>
          <w:tab/>
        </w:r>
        <w:r>
          <w:rPr>
            <w:noProof/>
            <w:webHidden/>
          </w:rPr>
          <w:fldChar w:fldCharType="begin"/>
        </w:r>
        <w:r>
          <w:rPr>
            <w:noProof/>
            <w:webHidden/>
          </w:rPr>
          <w:instrText xml:space="preserve"> PAGEREF _Toc10540856 \h </w:instrText>
        </w:r>
        <w:r>
          <w:rPr>
            <w:noProof/>
            <w:webHidden/>
          </w:rPr>
        </w:r>
        <w:r>
          <w:rPr>
            <w:noProof/>
            <w:webHidden/>
          </w:rPr>
          <w:fldChar w:fldCharType="separate"/>
        </w:r>
        <w:r>
          <w:rPr>
            <w:noProof/>
            <w:webHidden/>
          </w:rPr>
          <w:t>4</w:t>
        </w:r>
        <w:r>
          <w:rPr>
            <w:noProof/>
            <w:webHidden/>
          </w:rPr>
          <w:fldChar w:fldCharType="end"/>
        </w:r>
      </w:hyperlink>
    </w:p>
    <w:p w14:paraId="2C40B6E9" w14:textId="077F74C3" w:rsidR="00122722" w:rsidRDefault="00122722">
      <w:pPr>
        <w:pStyle w:val="TOC1"/>
        <w:tabs>
          <w:tab w:val="right" w:leader="dot" w:pos="9350"/>
        </w:tabs>
        <w:rPr>
          <w:rFonts w:eastAsiaTheme="minorEastAsia"/>
          <w:noProof/>
        </w:rPr>
      </w:pPr>
      <w:hyperlink w:anchor="_Toc10540857" w:history="1">
        <w:r w:rsidRPr="00340F06">
          <w:rPr>
            <w:rStyle w:val="Hyperlink"/>
            <w:rFonts w:ascii="Times New Roman" w:hAnsi="Times New Roman" w:cs="Times New Roman"/>
            <w:noProof/>
            <w:lang w:val="en-GB"/>
          </w:rPr>
          <w:t>Conclusion</w:t>
        </w:r>
        <w:r>
          <w:rPr>
            <w:noProof/>
            <w:webHidden/>
          </w:rPr>
          <w:tab/>
        </w:r>
        <w:r>
          <w:rPr>
            <w:noProof/>
            <w:webHidden/>
          </w:rPr>
          <w:fldChar w:fldCharType="begin"/>
        </w:r>
        <w:r>
          <w:rPr>
            <w:noProof/>
            <w:webHidden/>
          </w:rPr>
          <w:instrText xml:space="preserve"> PAGEREF _Toc10540857 \h </w:instrText>
        </w:r>
        <w:r>
          <w:rPr>
            <w:noProof/>
            <w:webHidden/>
          </w:rPr>
        </w:r>
        <w:r>
          <w:rPr>
            <w:noProof/>
            <w:webHidden/>
          </w:rPr>
          <w:fldChar w:fldCharType="separate"/>
        </w:r>
        <w:r>
          <w:rPr>
            <w:noProof/>
            <w:webHidden/>
          </w:rPr>
          <w:t>5</w:t>
        </w:r>
        <w:r>
          <w:rPr>
            <w:noProof/>
            <w:webHidden/>
          </w:rPr>
          <w:fldChar w:fldCharType="end"/>
        </w:r>
      </w:hyperlink>
    </w:p>
    <w:p w14:paraId="3A74FBC3" w14:textId="77777777" w:rsidR="00FE3F8E" w:rsidRPr="00B138DF" w:rsidRDefault="00A53FFD" w:rsidP="00A53FFD">
      <w:pPr>
        <w:jc w:val="both"/>
        <w:rPr>
          <w:rFonts w:ascii="Times New Roman" w:hAnsi="Times New Roman" w:cs="Times New Roman"/>
          <w:lang w:val="en-GB"/>
        </w:rPr>
      </w:pPr>
      <w:r w:rsidRPr="00B138DF">
        <w:rPr>
          <w:rFonts w:ascii="Times New Roman" w:hAnsi="Times New Roman" w:cs="Times New Roman"/>
          <w:lang w:val="en-GB"/>
        </w:rPr>
        <w:fldChar w:fldCharType="end"/>
      </w:r>
    </w:p>
    <w:p w14:paraId="34EB30E5" w14:textId="77777777" w:rsidR="00A53FFD" w:rsidRPr="00325A68" w:rsidRDefault="00A53FFD" w:rsidP="00A53FFD">
      <w:pPr>
        <w:pStyle w:val="Heading1"/>
        <w:jc w:val="both"/>
        <w:rPr>
          <w:rFonts w:ascii="Times New Roman" w:hAnsi="Times New Roman" w:cs="Times New Roman"/>
          <w:lang w:val="en-GB"/>
        </w:rPr>
      </w:pPr>
      <w:r w:rsidRPr="00325A68">
        <w:rPr>
          <w:rFonts w:ascii="Times New Roman" w:hAnsi="Times New Roman" w:cs="Times New Roman"/>
          <w:lang w:val="en-GB"/>
        </w:rPr>
        <w:br w:type="page"/>
      </w:r>
    </w:p>
    <w:p w14:paraId="3DBF9EDA" w14:textId="77777777" w:rsidR="00FE3F8E" w:rsidRPr="00325A68" w:rsidRDefault="00FE3F8E" w:rsidP="00A53FFD">
      <w:pPr>
        <w:pStyle w:val="Heading1"/>
        <w:jc w:val="both"/>
        <w:rPr>
          <w:rFonts w:ascii="Times New Roman" w:hAnsi="Times New Roman" w:cs="Times New Roman"/>
          <w:lang w:val="en-GB"/>
        </w:rPr>
      </w:pPr>
      <w:bookmarkStart w:id="1" w:name="_Toc10540854"/>
      <w:r w:rsidRPr="00325A68">
        <w:rPr>
          <w:rFonts w:ascii="Times New Roman" w:hAnsi="Times New Roman" w:cs="Times New Roman"/>
          <w:lang w:val="en-GB"/>
        </w:rPr>
        <w:lastRenderedPageBreak/>
        <w:t>Introduction</w:t>
      </w:r>
      <w:bookmarkEnd w:id="1"/>
    </w:p>
    <w:p w14:paraId="7B3DECFB" w14:textId="77777777" w:rsidR="00FE3F8E" w:rsidRPr="00325A68" w:rsidRDefault="00FE3F8E" w:rsidP="00A53FFD">
      <w:pPr>
        <w:jc w:val="both"/>
        <w:rPr>
          <w:rFonts w:ascii="Times New Roman" w:hAnsi="Times New Roman" w:cs="Times New Roman"/>
          <w:lang w:val="en-GB"/>
        </w:rPr>
      </w:pPr>
    </w:p>
    <w:p w14:paraId="11B94695" w14:textId="318BACB8" w:rsidR="00FE3F8E" w:rsidRPr="00325A68" w:rsidRDefault="00FE3F8E" w:rsidP="00A53FFD">
      <w:pPr>
        <w:pStyle w:val="ListParagraph"/>
        <w:numPr>
          <w:ilvl w:val="0"/>
          <w:numId w:val="1"/>
        </w:numPr>
        <w:jc w:val="both"/>
        <w:rPr>
          <w:rFonts w:ascii="Times New Roman" w:hAnsi="Times New Roman" w:cs="Times New Roman"/>
          <w:lang w:val="en-GB"/>
        </w:rPr>
      </w:pPr>
      <w:r w:rsidRPr="00325A68">
        <w:rPr>
          <w:rFonts w:ascii="Times New Roman" w:hAnsi="Times New Roman" w:cs="Times New Roman"/>
          <w:lang w:val="en-GB"/>
        </w:rPr>
        <w:t>On 4 April 2019, the author</w:t>
      </w:r>
      <w:r w:rsidR="00EA3FCD" w:rsidRPr="00325A68">
        <w:rPr>
          <w:rFonts w:ascii="Times New Roman" w:hAnsi="Times New Roman" w:cs="Times New Roman"/>
          <w:lang w:val="en-GB"/>
        </w:rPr>
        <w:t>s</w:t>
      </w:r>
      <w:r w:rsidRPr="00325A68">
        <w:rPr>
          <w:rFonts w:ascii="Times New Roman" w:hAnsi="Times New Roman" w:cs="Times New Roman"/>
          <w:lang w:val="en-GB"/>
        </w:rPr>
        <w:t xml:space="preserve"> received a copy of the State party’s observations concerning the merits of Communication No. 3248/2018</w:t>
      </w:r>
      <w:r w:rsidR="00B138DF">
        <w:rPr>
          <w:rFonts w:ascii="Times New Roman" w:hAnsi="Times New Roman" w:cs="Times New Roman"/>
          <w:lang w:val="en-GB"/>
        </w:rPr>
        <w:t xml:space="preserve"> </w:t>
      </w:r>
      <w:r w:rsidR="003D727F">
        <w:rPr>
          <w:rFonts w:ascii="Times New Roman" w:hAnsi="Times New Roman" w:cs="Times New Roman"/>
          <w:lang w:val="en-GB"/>
        </w:rPr>
        <w:t xml:space="preserve">dated 25 September 2016 </w:t>
      </w:r>
      <w:r w:rsidR="00B138DF">
        <w:rPr>
          <w:rFonts w:ascii="Times New Roman" w:hAnsi="Times New Roman" w:cs="Times New Roman"/>
          <w:lang w:val="en-GB"/>
        </w:rPr>
        <w:t>(the Communication)</w:t>
      </w:r>
      <w:r w:rsidRPr="00325A68">
        <w:rPr>
          <w:rFonts w:ascii="Times New Roman" w:hAnsi="Times New Roman" w:cs="Times New Roman"/>
          <w:lang w:val="en-GB"/>
        </w:rPr>
        <w:t>, which the author submitted to the Human Rights Committee (Committee) for consideration under the First Optional Protocol to the International Covenant on Civil and Political Rights (ICCPR). The author</w:t>
      </w:r>
      <w:r w:rsidR="00EA3FCD" w:rsidRPr="00325A68">
        <w:rPr>
          <w:rFonts w:ascii="Times New Roman" w:hAnsi="Times New Roman" w:cs="Times New Roman"/>
          <w:lang w:val="en-GB"/>
        </w:rPr>
        <w:t>s</w:t>
      </w:r>
      <w:r w:rsidRPr="00325A68">
        <w:rPr>
          <w:rFonts w:ascii="Times New Roman" w:hAnsi="Times New Roman" w:cs="Times New Roman"/>
          <w:lang w:val="en-GB"/>
        </w:rPr>
        <w:t xml:space="preserve"> provide the following comments in reply to the State party’s observations. </w:t>
      </w:r>
    </w:p>
    <w:p w14:paraId="0BD57D1A" w14:textId="77777777" w:rsidR="00FE3F8E" w:rsidRPr="00325A68" w:rsidRDefault="00FE3F8E" w:rsidP="00A53FFD">
      <w:pPr>
        <w:jc w:val="both"/>
        <w:rPr>
          <w:rFonts w:ascii="Times New Roman" w:hAnsi="Times New Roman" w:cs="Times New Roman"/>
          <w:lang w:val="en-GB"/>
        </w:rPr>
      </w:pPr>
    </w:p>
    <w:p w14:paraId="182D000D" w14:textId="3F73C979" w:rsidR="00776A35" w:rsidRPr="00325A68" w:rsidRDefault="00776A35" w:rsidP="00A53FFD">
      <w:pPr>
        <w:pStyle w:val="Heading1"/>
        <w:jc w:val="both"/>
        <w:rPr>
          <w:rFonts w:ascii="Times New Roman" w:hAnsi="Times New Roman" w:cs="Times New Roman"/>
          <w:lang w:val="en-GB"/>
        </w:rPr>
      </w:pPr>
      <w:bookmarkStart w:id="2" w:name="_Toc10540855"/>
      <w:r w:rsidRPr="00325A68">
        <w:rPr>
          <w:rFonts w:ascii="Times New Roman" w:hAnsi="Times New Roman" w:cs="Times New Roman"/>
          <w:lang w:val="en-GB"/>
        </w:rPr>
        <w:t xml:space="preserve">Summary of the </w:t>
      </w:r>
      <w:r w:rsidR="00B138DF">
        <w:rPr>
          <w:rFonts w:ascii="Times New Roman" w:hAnsi="Times New Roman" w:cs="Times New Roman"/>
          <w:lang w:val="en-GB"/>
        </w:rPr>
        <w:t>C</w:t>
      </w:r>
      <w:r w:rsidRPr="00325A68">
        <w:rPr>
          <w:rFonts w:ascii="Times New Roman" w:hAnsi="Times New Roman" w:cs="Times New Roman"/>
          <w:lang w:val="en-GB"/>
        </w:rPr>
        <w:t>ommunication</w:t>
      </w:r>
      <w:bookmarkEnd w:id="2"/>
      <w:r w:rsidRPr="00325A68">
        <w:rPr>
          <w:rFonts w:ascii="Times New Roman" w:hAnsi="Times New Roman" w:cs="Times New Roman"/>
          <w:lang w:val="en-GB"/>
        </w:rPr>
        <w:t xml:space="preserve"> </w:t>
      </w:r>
    </w:p>
    <w:p w14:paraId="1167AFA4" w14:textId="77777777" w:rsidR="00776A35" w:rsidRPr="00325A68" w:rsidRDefault="00776A35" w:rsidP="00A53FFD">
      <w:pPr>
        <w:jc w:val="both"/>
        <w:rPr>
          <w:rFonts w:ascii="Times New Roman" w:hAnsi="Times New Roman" w:cs="Times New Roman"/>
          <w:lang w:val="en-GB"/>
        </w:rPr>
      </w:pPr>
    </w:p>
    <w:p w14:paraId="51C9F3E7" w14:textId="77777777" w:rsidR="00776A35" w:rsidRPr="00325A68" w:rsidRDefault="00776A35" w:rsidP="00A53FFD">
      <w:pPr>
        <w:pStyle w:val="ListParagraph"/>
        <w:numPr>
          <w:ilvl w:val="0"/>
          <w:numId w:val="1"/>
        </w:numPr>
        <w:jc w:val="both"/>
        <w:rPr>
          <w:rFonts w:ascii="Times New Roman" w:hAnsi="Times New Roman" w:cs="Times New Roman"/>
          <w:lang w:val="en-GB"/>
        </w:rPr>
      </w:pPr>
      <w:r w:rsidRPr="00325A68">
        <w:rPr>
          <w:rFonts w:ascii="Times New Roman" w:hAnsi="Times New Roman" w:cs="Times New Roman"/>
          <w:lang w:val="en-GB"/>
        </w:rPr>
        <w:t xml:space="preserve">Ahmed </w:t>
      </w:r>
      <w:proofErr w:type="spellStart"/>
      <w:r w:rsidRPr="00325A68">
        <w:rPr>
          <w:rFonts w:ascii="Times New Roman" w:hAnsi="Times New Roman" w:cs="Times New Roman"/>
          <w:lang w:val="en-GB"/>
        </w:rPr>
        <w:t>Tholal</w:t>
      </w:r>
      <w:proofErr w:type="spellEnd"/>
      <w:r w:rsidRPr="00325A68">
        <w:rPr>
          <w:rFonts w:ascii="Times New Roman" w:hAnsi="Times New Roman" w:cs="Times New Roman"/>
          <w:lang w:val="en-GB"/>
        </w:rPr>
        <w:t xml:space="preserve"> and </w:t>
      </w:r>
      <w:proofErr w:type="spellStart"/>
      <w:r w:rsidRPr="00325A68">
        <w:rPr>
          <w:rFonts w:ascii="Times New Roman" w:hAnsi="Times New Roman" w:cs="Times New Roman"/>
          <w:lang w:val="en-GB"/>
        </w:rPr>
        <w:t>Jeehan</w:t>
      </w:r>
      <w:proofErr w:type="spellEnd"/>
      <w:r w:rsidRPr="00325A68">
        <w:rPr>
          <w:rFonts w:ascii="Times New Roman" w:hAnsi="Times New Roman" w:cs="Times New Roman"/>
          <w:lang w:val="en-GB"/>
        </w:rPr>
        <w:t xml:space="preserve"> Mahmood were members of the Human Rights Commission of the Maldives (HRCM) from 2010-2015 (the Authors).</w:t>
      </w:r>
    </w:p>
    <w:p w14:paraId="4B9ED024" w14:textId="77777777" w:rsidR="00776A35" w:rsidRPr="00325A68" w:rsidRDefault="00776A35" w:rsidP="00A53FFD">
      <w:pPr>
        <w:pStyle w:val="ListParagraph"/>
        <w:ind w:left="360"/>
        <w:jc w:val="both"/>
        <w:rPr>
          <w:rFonts w:ascii="Times New Roman" w:hAnsi="Times New Roman" w:cs="Times New Roman"/>
          <w:lang w:val="en-GB"/>
        </w:rPr>
      </w:pPr>
    </w:p>
    <w:p w14:paraId="26A3CC26" w14:textId="77777777" w:rsidR="00776A35" w:rsidRPr="00325A68" w:rsidRDefault="00776A35" w:rsidP="00A53FFD">
      <w:pPr>
        <w:pStyle w:val="ListParagraph"/>
        <w:numPr>
          <w:ilvl w:val="0"/>
          <w:numId w:val="1"/>
        </w:numPr>
        <w:jc w:val="both"/>
        <w:rPr>
          <w:rFonts w:ascii="Times New Roman" w:hAnsi="Times New Roman" w:cs="Times New Roman"/>
          <w:lang w:val="en-GB"/>
        </w:rPr>
      </w:pPr>
      <w:r w:rsidRPr="00325A68">
        <w:rPr>
          <w:rFonts w:ascii="Times New Roman" w:hAnsi="Times New Roman" w:cs="Times New Roman"/>
          <w:lang w:val="en-GB"/>
        </w:rPr>
        <w:t>In September 2014, the HRCM published and submitted a report as part of the second Universal Periodic Review (UPR) of the Maldives by the United Nations (UN) Human Rights Council (the Report).</w:t>
      </w:r>
      <w:r w:rsidRPr="00325A68">
        <w:rPr>
          <w:rStyle w:val="FootnoteReference"/>
          <w:rFonts w:ascii="Times New Roman" w:hAnsi="Times New Roman" w:cs="Times New Roman"/>
          <w:lang w:val="en-GB"/>
        </w:rPr>
        <w:footnoteReference w:id="1"/>
      </w:r>
    </w:p>
    <w:p w14:paraId="74DB83D3" w14:textId="77777777" w:rsidR="00776A35" w:rsidRPr="00325A68" w:rsidRDefault="00776A35" w:rsidP="00A53FFD">
      <w:pPr>
        <w:jc w:val="both"/>
        <w:rPr>
          <w:rFonts w:ascii="Times New Roman" w:hAnsi="Times New Roman" w:cs="Times New Roman"/>
          <w:lang w:val="en-GB"/>
        </w:rPr>
      </w:pPr>
    </w:p>
    <w:p w14:paraId="245D346F" w14:textId="35DC36F6" w:rsidR="00776A35" w:rsidRPr="00325A68" w:rsidRDefault="00776A35" w:rsidP="00A53FFD">
      <w:pPr>
        <w:pStyle w:val="ListParagraph"/>
        <w:numPr>
          <w:ilvl w:val="0"/>
          <w:numId w:val="1"/>
        </w:numPr>
        <w:jc w:val="both"/>
        <w:rPr>
          <w:rFonts w:ascii="Times New Roman" w:hAnsi="Times New Roman" w:cs="Times New Roman"/>
          <w:lang w:val="en-GB"/>
        </w:rPr>
      </w:pPr>
      <w:r w:rsidRPr="00325A68">
        <w:rPr>
          <w:rFonts w:ascii="Times New Roman" w:hAnsi="Times New Roman" w:cs="Times New Roman"/>
          <w:lang w:val="en-GB"/>
        </w:rPr>
        <w:t xml:space="preserve">The Report focused on prominent human rights issues faced </w:t>
      </w:r>
      <w:r w:rsidR="00CA1E96" w:rsidRPr="00325A68">
        <w:rPr>
          <w:rFonts w:ascii="Times New Roman" w:hAnsi="Times New Roman" w:cs="Times New Roman"/>
          <w:lang w:val="en-GB"/>
        </w:rPr>
        <w:t xml:space="preserve">in </w:t>
      </w:r>
      <w:r w:rsidRPr="00325A68">
        <w:rPr>
          <w:rFonts w:ascii="Times New Roman" w:hAnsi="Times New Roman" w:cs="Times New Roman"/>
          <w:lang w:val="en-GB"/>
        </w:rPr>
        <w:t xml:space="preserve">the Maldives, including access to justice. The Report questioned the functioning of the judiciary on grounds of independence, transparency, interference, influence, competency, consistency, and accessibility. In particular the Report criticised the Supreme Court of the Maldives’ growing powers, suggesting that the Supreme Court controls the judicial system and has weakened judicial powers vested in other </w:t>
      </w:r>
      <w:r w:rsidR="00CA1E96" w:rsidRPr="00325A68">
        <w:rPr>
          <w:rFonts w:ascii="Times New Roman" w:hAnsi="Times New Roman" w:cs="Times New Roman"/>
          <w:lang w:val="en-GB"/>
        </w:rPr>
        <w:t xml:space="preserve">courts, including both </w:t>
      </w:r>
      <w:r w:rsidRPr="00325A68">
        <w:rPr>
          <w:rFonts w:ascii="Times New Roman" w:hAnsi="Times New Roman" w:cs="Times New Roman"/>
          <w:lang w:val="en-GB"/>
        </w:rPr>
        <w:t>superior and lower courts.</w:t>
      </w:r>
    </w:p>
    <w:p w14:paraId="26B146B1" w14:textId="77777777" w:rsidR="00776A35" w:rsidRPr="00325A68" w:rsidRDefault="00776A35" w:rsidP="00A53FFD">
      <w:pPr>
        <w:jc w:val="both"/>
        <w:rPr>
          <w:rFonts w:ascii="Times New Roman" w:hAnsi="Times New Roman" w:cs="Times New Roman"/>
          <w:lang w:val="en-GB"/>
        </w:rPr>
      </w:pPr>
    </w:p>
    <w:p w14:paraId="79F1A8E6" w14:textId="77777777" w:rsidR="00776A35" w:rsidRPr="00325A68" w:rsidRDefault="00776A35" w:rsidP="00A53FFD">
      <w:pPr>
        <w:pStyle w:val="ListParagraph"/>
        <w:numPr>
          <w:ilvl w:val="0"/>
          <w:numId w:val="1"/>
        </w:numPr>
        <w:jc w:val="both"/>
        <w:rPr>
          <w:rFonts w:ascii="Times New Roman" w:hAnsi="Times New Roman" w:cs="Times New Roman"/>
          <w:lang w:val="en-GB"/>
        </w:rPr>
      </w:pPr>
      <w:r w:rsidRPr="00325A68">
        <w:rPr>
          <w:rFonts w:ascii="Times New Roman" w:hAnsi="Times New Roman" w:cs="Times New Roman"/>
          <w:lang w:val="en-GB"/>
        </w:rPr>
        <w:t xml:space="preserve">In September 2014, the Supreme Court of the Maldives initiated </w:t>
      </w:r>
      <w:proofErr w:type="spellStart"/>
      <w:r w:rsidRPr="00325A68">
        <w:rPr>
          <w:rFonts w:ascii="Times New Roman" w:hAnsi="Times New Roman" w:cs="Times New Roman"/>
          <w:i/>
          <w:lang w:val="en-GB"/>
        </w:rPr>
        <w:t>suo</w:t>
      </w:r>
      <w:proofErr w:type="spellEnd"/>
      <w:r w:rsidRPr="00325A68">
        <w:rPr>
          <w:rFonts w:ascii="Times New Roman" w:hAnsi="Times New Roman" w:cs="Times New Roman"/>
          <w:i/>
          <w:lang w:val="en-GB"/>
        </w:rPr>
        <w:t xml:space="preserve"> </w:t>
      </w:r>
      <w:proofErr w:type="spellStart"/>
      <w:r w:rsidRPr="00325A68">
        <w:rPr>
          <w:rFonts w:ascii="Times New Roman" w:hAnsi="Times New Roman" w:cs="Times New Roman"/>
          <w:i/>
          <w:lang w:val="en-GB"/>
        </w:rPr>
        <w:t>motu</w:t>
      </w:r>
      <w:proofErr w:type="spellEnd"/>
      <w:r w:rsidRPr="00325A68">
        <w:rPr>
          <w:rFonts w:ascii="Times New Roman" w:hAnsi="Times New Roman" w:cs="Times New Roman"/>
          <w:lang w:val="en-GB"/>
        </w:rPr>
        <w:t xml:space="preserve"> proceedings against the HRCM, charging it with: Unlawfully spreading false information and misleading the public about the Supreme Court’s jurisdiction, the constitutional and legal procedures followed by the courts of the Maldivian judiciary in conducting trials and ensuring justice, and the procedures followed by the courts in releasing information; Deliberately attempting to undermine the independence of the judiciary; Damaging the Maldives’ independence and sovereignty; and Deliberately attempting to undermine the Constitution (the Charges).</w:t>
      </w:r>
    </w:p>
    <w:p w14:paraId="46E96D06" w14:textId="77777777" w:rsidR="00776A35" w:rsidRPr="00325A68" w:rsidRDefault="00776A35" w:rsidP="00A53FFD">
      <w:pPr>
        <w:pStyle w:val="ListParagraph"/>
        <w:ind w:left="360"/>
        <w:jc w:val="both"/>
        <w:rPr>
          <w:rFonts w:ascii="Times New Roman" w:hAnsi="Times New Roman" w:cs="Times New Roman"/>
          <w:lang w:val="en-GB"/>
        </w:rPr>
      </w:pPr>
    </w:p>
    <w:p w14:paraId="0408678F" w14:textId="77777777" w:rsidR="00776A35" w:rsidRPr="00325A68" w:rsidRDefault="00776A35" w:rsidP="00A53FFD">
      <w:pPr>
        <w:pStyle w:val="ListParagraph"/>
        <w:numPr>
          <w:ilvl w:val="0"/>
          <w:numId w:val="1"/>
        </w:numPr>
        <w:jc w:val="both"/>
        <w:rPr>
          <w:rFonts w:ascii="Times New Roman" w:hAnsi="Times New Roman" w:cs="Times New Roman"/>
          <w:lang w:val="en-GB"/>
        </w:rPr>
      </w:pPr>
      <w:r w:rsidRPr="00325A68">
        <w:rPr>
          <w:rFonts w:ascii="Times New Roman" w:hAnsi="Times New Roman" w:cs="Times New Roman"/>
          <w:lang w:val="en-GB"/>
        </w:rPr>
        <w:t>Following two hearings on 24 and 30 September 2014, the Supreme Court issued its verdict on 16 June 2015, ruling that the Report was unlawful, biased and undermined judicial independence, and ordering the HRCM to follow an 11-point set of guidelines (the Guidelines).</w:t>
      </w:r>
    </w:p>
    <w:p w14:paraId="51798D66" w14:textId="77777777" w:rsidR="00776A35" w:rsidRPr="00325A68" w:rsidRDefault="00776A35" w:rsidP="00A53FFD">
      <w:pPr>
        <w:pStyle w:val="ListParagraph"/>
        <w:jc w:val="both"/>
        <w:rPr>
          <w:rFonts w:ascii="Times New Roman" w:hAnsi="Times New Roman" w:cs="Times New Roman"/>
          <w:lang w:val="en-GB"/>
        </w:rPr>
      </w:pPr>
    </w:p>
    <w:p w14:paraId="3F326197" w14:textId="77777777" w:rsidR="00776A35" w:rsidRPr="00325A68" w:rsidRDefault="00776A35" w:rsidP="00A53FFD">
      <w:pPr>
        <w:pStyle w:val="ListParagraph"/>
        <w:numPr>
          <w:ilvl w:val="0"/>
          <w:numId w:val="1"/>
        </w:numPr>
        <w:jc w:val="both"/>
        <w:rPr>
          <w:rFonts w:ascii="Times New Roman" w:hAnsi="Times New Roman" w:cs="Times New Roman"/>
          <w:lang w:val="en-GB"/>
        </w:rPr>
      </w:pPr>
      <w:r w:rsidRPr="00325A68">
        <w:rPr>
          <w:rFonts w:ascii="Times New Roman" w:hAnsi="Times New Roman" w:cs="Times New Roman"/>
          <w:lang w:val="en-GB"/>
        </w:rPr>
        <w:t>The Guidelines require, inter alia, that any communication with international bodies take place through relevant government institutions, and that the HRCM work in a manner that “does not create divisions in society” and “will not affect the discipline, culture and traditions of the Maldivian people and will not affect peace and harmony”. The Guidelines also warn against causing damage to the reputation of the Maldives.</w:t>
      </w:r>
    </w:p>
    <w:p w14:paraId="0AD6A80A" w14:textId="77777777" w:rsidR="00776A35" w:rsidRPr="00325A68" w:rsidRDefault="00776A35" w:rsidP="00A53FFD">
      <w:pPr>
        <w:pStyle w:val="ListParagraph"/>
        <w:jc w:val="both"/>
        <w:rPr>
          <w:rFonts w:ascii="Times New Roman" w:hAnsi="Times New Roman" w:cs="Times New Roman"/>
          <w:lang w:val="en-GB"/>
        </w:rPr>
      </w:pPr>
    </w:p>
    <w:p w14:paraId="67F9345D" w14:textId="22C7575F" w:rsidR="00776A35" w:rsidRPr="00325A68" w:rsidRDefault="00776A35" w:rsidP="00A53FFD">
      <w:pPr>
        <w:pStyle w:val="ListParagraph"/>
        <w:numPr>
          <w:ilvl w:val="0"/>
          <w:numId w:val="1"/>
        </w:numPr>
        <w:jc w:val="both"/>
        <w:rPr>
          <w:rFonts w:ascii="Times New Roman" w:hAnsi="Times New Roman" w:cs="Times New Roman"/>
          <w:lang w:val="en-GB"/>
        </w:rPr>
      </w:pPr>
      <w:r w:rsidRPr="00325A68">
        <w:rPr>
          <w:rFonts w:ascii="Times New Roman" w:hAnsi="Times New Roman" w:cs="Times New Roman"/>
          <w:lang w:val="en-GB"/>
        </w:rPr>
        <w:t>The Charges and Guidelines restrict the HRCM’s work and its right to share information freely with the UN and as such are an act of reprisal against the HRCM for its legitimate cooperation with the UN human rights system and its mechanisms. The Authors further submit that by prosecuting the HRCM for the content of its communications to the UN and by limiting future communication between the HRCM and the UN through the Guidelines, the Maldives violated article 19 (freedom of expression) of the ICCPR.</w:t>
      </w:r>
    </w:p>
    <w:p w14:paraId="5E5ABE7B" w14:textId="77777777" w:rsidR="00776A35" w:rsidRPr="00325A68" w:rsidRDefault="00776A35" w:rsidP="00A53FFD">
      <w:pPr>
        <w:pStyle w:val="ListParagraph"/>
        <w:jc w:val="both"/>
        <w:rPr>
          <w:rFonts w:ascii="Times New Roman" w:hAnsi="Times New Roman" w:cs="Times New Roman"/>
          <w:lang w:val="en-GB"/>
        </w:rPr>
      </w:pPr>
    </w:p>
    <w:p w14:paraId="5A4A67B2" w14:textId="546F93AE" w:rsidR="00776A35" w:rsidRPr="00325A68" w:rsidRDefault="00776A35" w:rsidP="00A53FFD">
      <w:pPr>
        <w:pStyle w:val="ListParagraph"/>
        <w:numPr>
          <w:ilvl w:val="0"/>
          <w:numId w:val="1"/>
        </w:numPr>
        <w:jc w:val="both"/>
        <w:rPr>
          <w:rFonts w:ascii="Times New Roman" w:hAnsi="Times New Roman" w:cs="Times New Roman"/>
          <w:lang w:val="en-GB"/>
        </w:rPr>
      </w:pPr>
      <w:r w:rsidRPr="00325A68">
        <w:rPr>
          <w:rFonts w:ascii="Times New Roman" w:hAnsi="Times New Roman" w:cs="Times New Roman"/>
          <w:lang w:val="en-GB"/>
        </w:rPr>
        <w:t xml:space="preserve">Specifically, </w:t>
      </w:r>
      <w:r w:rsidR="00B138DF">
        <w:rPr>
          <w:rFonts w:ascii="Times New Roman" w:hAnsi="Times New Roman" w:cs="Times New Roman"/>
          <w:lang w:val="en-GB"/>
        </w:rPr>
        <w:t xml:space="preserve">in the Communication </w:t>
      </w:r>
      <w:r w:rsidRPr="00325A68">
        <w:rPr>
          <w:rFonts w:ascii="Times New Roman" w:hAnsi="Times New Roman" w:cs="Times New Roman"/>
          <w:lang w:val="en-GB"/>
        </w:rPr>
        <w:t>the Authors submit that the HRCM’s communication with the UN— in the form of the Report submitted to the Human Rights Council in the context of the Maldives’ UPR—is an expression protected under Article 19(2)</w:t>
      </w:r>
      <w:r w:rsidR="00CA1E96" w:rsidRPr="00325A68">
        <w:rPr>
          <w:rFonts w:ascii="Times New Roman" w:hAnsi="Times New Roman" w:cs="Times New Roman"/>
          <w:lang w:val="en-GB"/>
        </w:rPr>
        <w:t xml:space="preserve"> of the ICCPR</w:t>
      </w:r>
      <w:r w:rsidRPr="00325A68">
        <w:rPr>
          <w:rFonts w:ascii="Times New Roman" w:hAnsi="Times New Roman" w:cs="Times New Roman"/>
          <w:lang w:val="en-GB"/>
        </w:rPr>
        <w:t>. The Authors further submit that the restrictions on that expression, i.e. the Charges and Guidelines, constitute a reprisal for accessing and communicating with the UN and fall short of the requirements for permissible restrictions under Article 19(3) of the ICCPR.</w:t>
      </w:r>
    </w:p>
    <w:p w14:paraId="737910E5" w14:textId="77777777" w:rsidR="00776A35" w:rsidRPr="00325A68" w:rsidRDefault="00776A35" w:rsidP="00A53FFD">
      <w:pPr>
        <w:pStyle w:val="ListParagraph"/>
        <w:jc w:val="both"/>
        <w:rPr>
          <w:rFonts w:ascii="Times New Roman" w:hAnsi="Times New Roman" w:cs="Times New Roman"/>
          <w:lang w:val="en-GB"/>
        </w:rPr>
      </w:pPr>
    </w:p>
    <w:p w14:paraId="068A1D5A" w14:textId="77777777" w:rsidR="00776A35" w:rsidRPr="00325A68" w:rsidRDefault="00776A35" w:rsidP="00A53FFD">
      <w:pPr>
        <w:pStyle w:val="ListParagraph"/>
        <w:numPr>
          <w:ilvl w:val="0"/>
          <w:numId w:val="1"/>
        </w:numPr>
        <w:jc w:val="both"/>
        <w:rPr>
          <w:rFonts w:ascii="Times New Roman" w:hAnsi="Times New Roman" w:cs="Times New Roman"/>
          <w:lang w:val="en-GB"/>
        </w:rPr>
      </w:pPr>
      <w:r w:rsidRPr="00325A68">
        <w:rPr>
          <w:rFonts w:ascii="Times New Roman" w:hAnsi="Times New Roman" w:cs="Times New Roman"/>
          <w:lang w:val="en-GB"/>
        </w:rPr>
        <w:t>The HRCM’s right to freely communicate with international human rights mechanisms should be firmly preserved in law and practice.</w:t>
      </w:r>
    </w:p>
    <w:p w14:paraId="1373DFF4" w14:textId="77777777" w:rsidR="00776A35" w:rsidRPr="00325A68" w:rsidRDefault="00776A35" w:rsidP="00A53FFD">
      <w:pPr>
        <w:pStyle w:val="ListParagraph"/>
        <w:ind w:left="360"/>
        <w:jc w:val="both"/>
        <w:rPr>
          <w:rFonts w:ascii="Times New Roman" w:hAnsi="Times New Roman" w:cs="Times New Roman"/>
          <w:lang w:val="en-GB"/>
        </w:rPr>
      </w:pPr>
    </w:p>
    <w:p w14:paraId="5F634983" w14:textId="77777777" w:rsidR="00FE3F8E" w:rsidRPr="00325A68" w:rsidRDefault="00EA3FCD" w:rsidP="00A53FFD">
      <w:pPr>
        <w:pStyle w:val="Heading1"/>
        <w:jc w:val="both"/>
        <w:rPr>
          <w:rFonts w:ascii="Times New Roman" w:hAnsi="Times New Roman" w:cs="Times New Roman"/>
          <w:lang w:val="en-GB"/>
        </w:rPr>
      </w:pPr>
      <w:bookmarkStart w:id="3" w:name="_Toc10540856"/>
      <w:r w:rsidRPr="00325A68">
        <w:rPr>
          <w:rFonts w:ascii="Times New Roman" w:hAnsi="Times New Roman" w:cs="Times New Roman"/>
          <w:lang w:val="en-GB"/>
        </w:rPr>
        <w:t>Submissions on law and merits of claim</w:t>
      </w:r>
      <w:bookmarkEnd w:id="3"/>
      <w:r w:rsidRPr="00325A68">
        <w:rPr>
          <w:rFonts w:ascii="Times New Roman" w:hAnsi="Times New Roman" w:cs="Times New Roman"/>
          <w:lang w:val="en-GB"/>
        </w:rPr>
        <w:t xml:space="preserve"> </w:t>
      </w:r>
    </w:p>
    <w:p w14:paraId="7F08176E" w14:textId="77777777" w:rsidR="00EA3FCD" w:rsidRPr="00325A68" w:rsidRDefault="00EA3FCD" w:rsidP="00A53FFD">
      <w:pPr>
        <w:jc w:val="both"/>
        <w:rPr>
          <w:rFonts w:ascii="Times New Roman" w:hAnsi="Times New Roman" w:cs="Times New Roman"/>
          <w:lang w:val="en-GB"/>
        </w:rPr>
      </w:pPr>
    </w:p>
    <w:p w14:paraId="7477C5ED" w14:textId="2B5C5E3C" w:rsidR="00EA3FCD" w:rsidRPr="00325A68" w:rsidRDefault="00EA3FCD" w:rsidP="00A53FFD">
      <w:pPr>
        <w:pStyle w:val="ListParagraph"/>
        <w:numPr>
          <w:ilvl w:val="0"/>
          <w:numId w:val="1"/>
        </w:numPr>
        <w:jc w:val="both"/>
        <w:rPr>
          <w:rFonts w:ascii="Times New Roman" w:hAnsi="Times New Roman" w:cs="Times New Roman"/>
          <w:lang w:val="en-GB"/>
        </w:rPr>
      </w:pPr>
      <w:r w:rsidRPr="00325A68">
        <w:rPr>
          <w:rFonts w:ascii="Times New Roman" w:hAnsi="Times New Roman" w:cs="Times New Roman"/>
          <w:lang w:val="en-GB"/>
        </w:rPr>
        <w:t>The authors maintain that the State party has breached Article 19 (freedom of expression) of the ICCPR</w:t>
      </w:r>
      <w:r w:rsidR="003D727F">
        <w:rPr>
          <w:rFonts w:ascii="Times New Roman" w:hAnsi="Times New Roman" w:cs="Times New Roman"/>
          <w:lang w:val="en-GB"/>
        </w:rPr>
        <w:t>,</w:t>
      </w:r>
      <w:r w:rsidR="001F66FF">
        <w:rPr>
          <w:rFonts w:ascii="Times New Roman" w:hAnsi="Times New Roman" w:cs="Times New Roman"/>
          <w:lang w:val="en-GB"/>
        </w:rPr>
        <w:t xml:space="preserve"> as set out in detail in section 6 of the Communication</w:t>
      </w:r>
      <w:r w:rsidRPr="00325A68">
        <w:rPr>
          <w:rFonts w:ascii="Times New Roman" w:hAnsi="Times New Roman" w:cs="Times New Roman"/>
          <w:lang w:val="en-GB"/>
        </w:rPr>
        <w:t xml:space="preserve">.  </w:t>
      </w:r>
    </w:p>
    <w:p w14:paraId="31F115C0" w14:textId="77777777" w:rsidR="00EA3FCD" w:rsidRPr="00325A68" w:rsidRDefault="00EA3FCD" w:rsidP="00A53FFD">
      <w:pPr>
        <w:pStyle w:val="ListParagraph"/>
        <w:ind w:left="360"/>
        <w:jc w:val="both"/>
        <w:rPr>
          <w:rFonts w:ascii="Times New Roman" w:hAnsi="Times New Roman" w:cs="Times New Roman"/>
          <w:lang w:val="en-GB"/>
        </w:rPr>
      </w:pPr>
    </w:p>
    <w:p w14:paraId="08DC3BF2" w14:textId="1C4CAF10" w:rsidR="00EA3FCD" w:rsidRPr="00325A68" w:rsidRDefault="000D2460" w:rsidP="00F041EE">
      <w:pPr>
        <w:pStyle w:val="ListParagraph"/>
        <w:numPr>
          <w:ilvl w:val="0"/>
          <w:numId w:val="1"/>
        </w:numPr>
        <w:jc w:val="both"/>
        <w:rPr>
          <w:rFonts w:ascii="Times New Roman" w:hAnsi="Times New Roman" w:cs="Times New Roman"/>
          <w:lang w:val="en-GB"/>
        </w:rPr>
      </w:pPr>
      <w:r w:rsidRPr="00325A68">
        <w:rPr>
          <w:rFonts w:ascii="Times New Roman" w:hAnsi="Times New Roman" w:cs="Times New Roman"/>
          <w:lang w:val="en-GB"/>
        </w:rPr>
        <w:t>In its observations, t</w:t>
      </w:r>
      <w:r w:rsidR="00EA3FCD" w:rsidRPr="00325A68">
        <w:rPr>
          <w:rFonts w:ascii="Times New Roman" w:hAnsi="Times New Roman" w:cs="Times New Roman"/>
          <w:lang w:val="en-GB"/>
        </w:rPr>
        <w:t>he State party ‘notes the concerns and allegations’ raised by the authors and ‘acknowledges the subsequent operational adversities’ faced by th</w:t>
      </w:r>
      <w:r w:rsidR="00CA1E96" w:rsidRPr="00325A68">
        <w:rPr>
          <w:rFonts w:ascii="Times New Roman" w:hAnsi="Times New Roman" w:cs="Times New Roman"/>
          <w:lang w:val="en-GB"/>
        </w:rPr>
        <w:t xml:space="preserve">e </w:t>
      </w:r>
      <w:r w:rsidR="00EA3FCD" w:rsidRPr="00325A68">
        <w:rPr>
          <w:rFonts w:ascii="Times New Roman" w:hAnsi="Times New Roman" w:cs="Times New Roman"/>
          <w:lang w:val="en-GB"/>
        </w:rPr>
        <w:t xml:space="preserve">HRCM. </w:t>
      </w:r>
      <w:r w:rsidR="00F041EE" w:rsidRPr="00325A68">
        <w:rPr>
          <w:rFonts w:ascii="Times New Roman" w:hAnsi="Times New Roman" w:cs="Times New Roman"/>
          <w:lang w:val="en-GB"/>
        </w:rPr>
        <w:t xml:space="preserve">Furthermore, </w:t>
      </w:r>
      <w:r w:rsidR="00E64D16" w:rsidRPr="00325A68">
        <w:rPr>
          <w:rFonts w:ascii="Times New Roman" w:hAnsi="Times New Roman" w:cs="Times New Roman"/>
          <w:lang w:val="en-GB"/>
        </w:rPr>
        <w:t>t</w:t>
      </w:r>
      <w:r w:rsidR="00EA3FCD" w:rsidRPr="00325A68">
        <w:rPr>
          <w:rFonts w:ascii="Times New Roman" w:hAnsi="Times New Roman" w:cs="Times New Roman"/>
          <w:lang w:val="en-GB"/>
        </w:rPr>
        <w:t xml:space="preserve">he State party </w:t>
      </w:r>
      <w:r w:rsidR="00E64D16" w:rsidRPr="00325A68">
        <w:rPr>
          <w:rFonts w:ascii="Times New Roman" w:hAnsi="Times New Roman" w:cs="Times New Roman"/>
          <w:lang w:val="en-GB"/>
        </w:rPr>
        <w:t>seeks</w:t>
      </w:r>
      <w:r w:rsidR="00EA3FCD" w:rsidRPr="00325A68">
        <w:rPr>
          <w:rFonts w:ascii="Times New Roman" w:hAnsi="Times New Roman" w:cs="Times New Roman"/>
          <w:lang w:val="en-GB"/>
        </w:rPr>
        <w:t xml:space="preserve"> to assure the Committee that the effects of the </w:t>
      </w:r>
      <w:r w:rsidR="00E64D16" w:rsidRPr="00325A68">
        <w:rPr>
          <w:rFonts w:ascii="Times New Roman" w:hAnsi="Times New Roman" w:cs="Times New Roman"/>
          <w:lang w:val="en-GB"/>
        </w:rPr>
        <w:t>Supreme C</w:t>
      </w:r>
      <w:r w:rsidR="00EA3FCD" w:rsidRPr="00325A68">
        <w:rPr>
          <w:rFonts w:ascii="Times New Roman" w:hAnsi="Times New Roman" w:cs="Times New Roman"/>
          <w:lang w:val="en-GB"/>
        </w:rPr>
        <w:t xml:space="preserve">ourt judgment </w:t>
      </w:r>
      <w:r w:rsidR="00E64D16" w:rsidRPr="00325A68">
        <w:rPr>
          <w:rFonts w:ascii="Times New Roman" w:hAnsi="Times New Roman" w:cs="Times New Roman"/>
          <w:lang w:val="en-GB"/>
        </w:rPr>
        <w:t>‘</w:t>
      </w:r>
      <w:r w:rsidR="00EA3FCD" w:rsidRPr="00325A68">
        <w:rPr>
          <w:rFonts w:ascii="Times New Roman" w:hAnsi="Times New Roman" w:cs="Times New Roman"/>
          <w:lang w:val="en-GB"/>
        </w:rPr>
        <w:t>will be taken into consideration</w:t>
      </w:r>
      <w:r w:rsidR="00E64D16" w:rsidRPr="00325A68">
        <w:rPr>
          <w:rFonts w:ascii="Times New Roman" w:hAnsi="Times New Roman" w:cs="Times New Roman"/>
          <w:lang w:val="en-GB"/>
        </w:rPr>
        <w:t>’</w:t>
      </w:r>
      <w:r w:rsidR="00EA3FCD" w:rsidRPr="00325A68">
        <w:rPr>
          <w:rFonts w:ascii="Times New Roman" w:hAnsi="Times New Roman" w:cs="Times New Roman"/>
          <w:lang w:val="en-GB"/>
        </w:rPr>
        <w:t xml:space="preserve">, that </w:t>
      </w:r>
      <w:r w:rsidR="00E64D16" w:rsidRPr="00325A68">
        <w:rPr>
          <w:rFonts w:ascii="Times New Roman" w:hAnsi="Times New Roman" w:cs="Times New Roman"/>
          <w:lang w:val="en-GB"/>
        </w:rPr>
        <w:t xml:space="preserve">the </w:t>
      </w:r>
      <w:r w:rsidR="00EA3FCD" w:rsidRPr="00325A68">
        <w:rPr>
          <w:rFonts w:ascii="Times New Roman" w:hAnsi="Times New Roman" w:cs="Times New Roman"/>
          <w:lang w:val="en-GB"/>
        </w:rPr>
        <w:t xml:space="preserve">Maldives have entered a </w:t>
      </w:r>
      <w:r w:rsidR="00E64D16" w:rsidRPr="00325A68">
        <w:rPr>
          <w:rFonts w:ascii="Times New Roman" w:hAnsi="Times New Roman" w:cs="Times New Roman"/>
          <w:lang w:val="en-GB"/>
        </w:rPr>
        <w:t>‘</w:t>
      </w:r>
      <w:r w:rsidR="00EA3FCD" w:rsidRPr="00325A68">
        <w:rPr>
          <w:rFonts w:ascii="Times New Roman" w:hAnsi="Times New Roman" w:cs="Times New Roman"/>
          <w:lang w:val="en-GB"/>
        </w:rPr>
        <w:t>new era of democratic rule</w:t>
      </w:r>
      <w:r w:rsidR="00E64D16" w:rsidRPr="00325A68">
        <w:rPr>
          <w:rFonts w:ascii="Times New Roman" w:hAnsi="Times New Roman" w:cs="Times New Roman"/>
          <w:lang w:val="en-GB"/>
        </w:rPr>
        <w:t>’</w:t>
      </w:r>
      <w:r w:rsidR="00EA3FCD" w:rsidRPr="00325A68">
        <w:rPr>
          <w:rFonts w:ascii="Times New Roman" w:hAnsi="Times New Roman" w:cs="Times New Roman"/>
          <w:lang w:val="en-GB"/>
        </w:rPr>
        <w:t>, and that the new administration pledges to reform</w:t>
      </w:r>
      <w:r w:rsidR="00E64D16" w:rsidRPr="00325A68">
        <w:rPr>
          <w:rFonts w:ascii="Times New Roman" w:hAnsi="Times New Roman" w:cs="Times New Roman"/>
          <w:lang w:val="en-GB"/>
        </w:rPr>
        <w:t>, reconstitute and transform</w:t>
      </w:r>
      <w:r w:rsidR="00EA3FCD" w:rsidRPr="00325A68">
        <w:rPr>
          <w:rFonts w:ascii="Times New Roman" w:hAnsi="Times New Roman" w:cs="Times New Roman"/>
          <w:lang w:val="en-GB"/>
        </w:rPr>
        <w:t xml:space="preserve"> all </w:t>
      </w:r>
      <w:r w:rsidR="00D17350" w:rsidRPr="00325A68">
        <w:rPr>
          <w:rFonts w:ascii="Times New Roman" w:hAnsi="Times New Roman" w:cs="Times New Roman"/>
          <w:lang w:val="en-GB"/>
        </w:rPr>
        <w:t xml:space="preserve">State </w:t>
      </w:r>
      <w:r w:rsidR="00EA3FCD" w:rsidRPr="00325A68">
        <w:rPr>
          <w:rFonts w:ascii="Times New Roman" w:hAnsi="Times New Roman" w:cs="Times New Roman"/>
          <w:lang w:val="en-GB"/>
        </w:rPr>
        <w:t>institutions to</w:t>
      </w:r>
      <w:r w:rsidR="00E64D16" w:rsidRPr="00325A68">
        <w:rPr>
          <w:rFonts w:ascii="Times New Roman" w:hAnsi="Times New Roman" w:cs="Times New Roman"/>
          <w:lang w:val="en-GB"/>
        </w:rPr>
        <w:t xml:space="preserve">, inter alia, reinstate </w:t>
      </w:r>
      <w:r w:rsidR="00EA3FCD" w:rsidRPr="00325A68">
        <w:rPr>
          <w:rFonts w:ascii="Times New Roman" w:hAnsi="Times New Roman" w:cs="Times New Roman"/>
          <w:lang w:val="en-GB"/>
        </w:rPr>
        <w:t>respect for international obligations</w:t>
      </w:r>
      <w:r w:rsidR="00E64D16" w:rsidRPr="00325A68">
        <w:rPr>
          <w:rFonts w:ascii="Times New Roman" w:hAnsi="Times New Roman" w:cs="Times New Roman"/>
          <w:lang w:val="en-GB"/>
        </w:rPr>
        <w:t xml:space="preserve"> and promote operation of </w:t>
      </w:r>
      <w:r w:rsidR="00D17350" w:rsidRPr="00325A68">
        <w:rPr>
          <w:rFonts w:ascii="Times New Roman" w:hAnsi="Times New Roman" w:cs="Times New Roman"/>
          <w:lang w:val="en-GB"/>
        </w:rPr>
        <w:t>S</w:t>
      </w:r>
      <w:r w:rsidR="00E64D16" w:rsidRPr="00325A68">
        <w:rPr>
          <w:rFonts w:ascii="Times New Roman" w:hAnsi="Times New Roman" w:cs="Times New Roman"/>
          <w:lang w:val="en-GB"/>
        </w:rPr>
        <w:t xml:space="preserve">tate institutions within the designated ambit of authority. </w:t>
      </w:r>
    </w:p>
    <w:p w14:paraId="03F47A8D" w14:textId="77777777" w:rsidR="00E64D16" w:rsidRPr="00325A68" w:rsidRDefault="00E64D16" w:rsidP="00A53FFD">
      <w:pPr>
        <w:pStyle w:val="ListParagraph"/>
        <w:jc w:val="both"/>
        <w:rPr>
          <w:rFonts w:ascii="Times New Roman" w:hAnsi="Times New Roman" w:cs="Times New Roman"/>
          <w:lang w:val="en-GB"/>
        </w:rPr>
      </w:pPr>
    </w:p>
    <w:p w14:paraId="550E1936" w14:textId="77777777" w:rsidR="00E64D16" w:rsidRPr="00325A68" w:rsidRDefault="00F041EE" w:rsidP="00A53FFD">
      <w:pPr>
        <w:pStyle w:val="ListParagraph"/>
        <w:numPr>
          <w:ilvl w:val="0"/>
          <w:numId w:val="1"/>
        </w:numPr>
        <w:jc w:val="both"/>
        <w:rPr>
          <w:rFonts w:ascii="Times New Roman" w:hAnsi="Times New Roman" w:cs="Times New Roman"/>
          <w:lang w:val="en-GB"/>
        </w:rPr>
      </w:pPr>
      <w:r w:rsidRPr="00325A68">
        <w:rPr>
          <w:rFonts w:ascii="Times New Roman" w:hAnsi="Times New Roman" w:cs="Times New Roman"/>
          <w:lang w:val="en-GB"/>
        </w:rPr>
        <w:t>In its observations, t</w:t>
      </w:r>
      <w:r w:rsidR="00E64D16" w:rsidRPr="00325A68">
        <w:rPr>
          <w:rFonts w:ascii="Times New Roman" w:hAnsi="Times New Roman" w:cs="Times New Roman"/>
          <w:lang w:val="en-GB"/>
        </w:rPr>
        <w:t xml:space="preserve">he State party states that it cannot override the decision of the Supreme Court but can remedy it through a legislative amendment. </w:t>
      </w:r>
      <w:r w:rsidR="000D2460" w:rsidRPr="00325A68">
        <w:rPr>
          <w:rFonts w:ascii="Times New Roman" w:hAnsi="Times New Roman" w:cs="Times New Roman"/>
          <w:lang w:val="en-GB"/>
        </w:rPr>
        <w:t>In that regard, t</w:t>
      </w:r>
      <w:r w:rsidR="00E64D16" w:rsidRPr="00325A68">
        <w:rPr>
          <w:rFonts w:ascii="Times New Roman" w:hAnsi="Times New Roman" w:cs="Times New Roman"/>
          <w:lang w:val="en-GB"/>
        </w:rPr>
        <w:t xml:space="preserve">he State party cites a </w:t>
      </w:r>
      <w:r w:rsidR="00831704" w:rsidRPr="00325A68">
        <w:rPr>
          <w:rFonts w:ascii="Times New Roman" w:hAnsi="Times New Roman" w:cs="Times New Roman"/>
          <w:lang w:val="en-GB"/>
        </w:rPr>
        <w:t>b</w:t>
      </w:r>
      <w:r w:rsidR="00E64D16" w:rsidRPr="00325A68">
        <w:rPr>
          <w:rFonts w:ascii="Times New Roman" w:hAnsi="Times New Roman" w:cs="Times New Roman"/>
          <w:lang w:val="en-GB"/>
        </w:rPr>
        <w:t xml:space="preserve">ill proposing amendments to Law Number 6/2006 (Human Rights Commission Act), which contains a section that would afford the HRCM unfettered authority to </w:t>
      </w:r>
      <w:r w:rsidR="0007131B" w:rsidRPr="00325A68">
        <w:rPr>
          <w:rFonts w:ascii="Times New Roman" w:hAnsi="Times New Roman" w:cs="Times New Roman"/>
          <w:lang w:val="en-GB"/>
        </w:rPr>
        <w:t>(a) seek assistance from relevant international parties (including bilateral and regional partners and international organisations); and (b) submit reports to international organisations, committees, bodies, working groups and other organs</w:t>
      </w:r>
      <w:r w:rsidR="00831704" w:rsidRPr="00325A68">
        <w:rPr>
          <w:rFonts w:ascii="Times New Roman" w:hAnsi="Times New Roman" w:cs="Times New Roman"/>
          <w:lang w:val="en-GB"/>
        </w:rPr>
        <w:t xml:space="preserve"> (the Bill)</w:t>
      </w:r>
      <w:r w:rsidR="0007131B" w:rsidRPr="00325A68">
        <w:rPr>
          <w:rFonts w:ascii="Times New Roman" w:hAnsi="Times New Roman" w:cs="Times New Roman"/>
          <w:lang w:val="en-GB"/>
        </w:rPr>
        <w:t>.</w:t>
      </w:r>
    </w:p>
    <w:p w14:paraId="18EA09FB" w14:textId="77777777" w:rsidR="00E64D16" w:rsidRPr="00325A68" w:rsidRDefault="00E64D16" w:rsidP="00A53FFD">
      <w:pPr>
        <w:jc w:val="both"/>
        <w:rPr>
          <w:rFonts w:ascii="Times New Roman" w:hAnsi="Times New Roman" w:cs="Times New Roman"/>
          <w:lang w:val="en-GB"/>
        </w:rPr>
      </w:pPr>
    </w:p>
    <w:p w14:paraId="658DA218" w14:textId="1A362BA7" w:rsidR="00F42406" w:rsidRPr="00325A68" w:rsidRDefault="000D2460" w:rsidP="00A53FFD">
      <w:pPr>
        <w:pStyle w:val="ListParagraph"/>
        <w:numPr>
          <w:ilvl w:val="0"/>
          <w:numId w:val="1"/>
        </w:numPr>
        <w:jc w:val="both"/>
        <w:rPr>
          <w:rFonts w:ascii="Times New Roman" w:hAnsi="Times New Roman" w:cs="Times New Roman"/>
          <w:lang w:val="en-GB"/>
        </w:rPr>
      </w:pPr>
      <w:r w:rsidRPr="00325A68">
        <w:rPr>
          <w:rFonts w:ascii="Times New Roman" w:hAnsi="Times New Roman" w:cs="Times New Roman"/>
          <w:lang w:val="en-GB"/>
        </w:rPr>
        <w:lastRenderedPageBreak/>
        <w:t>T</w:t>
      </w:r>
      <w:r w:rsidR="0007131B" w:rsidRPr="00325A68">
        <w:rPr>
          <w:rFonts w:ascii="Times New Roman" w:hAnsi="Times New Roman" w:cs="Times New Roman"/>
          <w:lang w:val="en-GB"/>
        </w:rPr>
        <w:t xml:space="preserve">he </w:t>
      </w:r>
      <w:r w:rsidR="00D17350" w:rsidRPr="00325A68">
        <w:rPr>
          <w:rFonts w:ascii="Times New Roman" w:hAnsi="Times New Roman" w:cs="Times New Roman"/>
          <w:lang w:val="en-GB"/>
        </w:rPr>
        <w:t>A</w:t>
      </w:r>
      <w:r w:rsidR="0007131B" w:rsidRPr="00325A68">
        <w:rPr>
          <w:rFonts w:ascii="Times New Roman" w:hAnsi="Times New Roman" w:cs="Times New Roman"/>
          <w:lang w:val="en-GB"/>
        </w:rPr>
        <w:t>uthors acknowledge and welcome the proposed legislative amendments</w:t>
      </w:r>
      <w:r w:rsidRPr="00325A68">
        <w:rPr>
          <w:rFonts w:ascii="Times New Roman" w:hAnsi="Times New Roman" w:cs="Times New Roman"/>
          <w:lang w:val="en-GB"/>
        </w:rPr>
        <w:t>. However,</w:t>
      </w:r>
      <w:r w:rsidR="0007131B" w:rsidRPr="00325A68">
        <w:rPr>
          <w:rFonts w:ascii="Times New Roman" w:hAnsi="Times New Roman" w:cs="Times New Roman"/>
          <w:lang w:val="en-GB"/>
        </w:rPr>
        <w:t xml:space="preserve"> the </w:t>
      </w:r>
      <w:r w:rsidR="00D17350" w:rsidRPr="00325A68">
        <w:rPr>
          <w:rFonts w:ascii="Times New Roman" w:hAnsi="Times New Roman" w:cs="Times New Roman"/>
          <w:lang w:val="en-GB"/>
        </w:rPr>
        <w:t>A</w:t>
      </w:r>
      <w:r w:rsidR="0007131B" w:rsidRPr="00325A68">
        <w:rPr>
          <w:rFonts w:ascii="Times New Roman" w:hAnsi="Times New Roman" w:cs="Times New Roman"/>
          <w:lang w:val="en-GB"/>
        </w:rPr>
        <w:t>uthors submit tha</w:t>
      </w:r>
      <w:r w:rsidR="00F42406" w:rsidRPr="00325A68">
        <w:rPr>
          <w:rFonts w:ascii="Times New Roman" w:hAnsi="Times New Roman" w:cs="Times New Roman"/>
          <w:lang w:val="en-GB"/>
        </w:rPr>
        <w:t xml:space="preserve">t, while the proposed amendments may prevent future violations, these do not provide an effective remedy for past violations. </w:t>
      </w:r>
      <w:r w:rsidR="00F041EE" w:rsidRPr="00325A68">
        <w:rPr>
          <w:rFonts w:ascii="Times New Roman" w:hAnsi="Times New Roman" w:cs="Times New Roman"/>
          <w:lang w:val="en-GB"/>
        </w:rPr>
        <w:t xml:space="preserve">Thus, the declaratory relief the </w:t>
      </w:r>
      <w:r w:rsidR="00D17350" w:rsidRPr="00325A68">
        <w:rPr>
          <w:rFonts w:ascii="Times New Roman" w:hAnsi="Times New Roman" w:cs="Times New Roman"/>
          <w:lang w:val="en-GB"/>
        </w:rPr>
        <w:t xml:space="preserve">Authors </w:t>
      </w:r>
      <w:r w:rsidR="00F041EE" w:rsidRPr="00325A68">
        <w:rPr>
          <w:rFonts w:ascii="Times New Roman" w:hAnsi="Times New Roman" w:cs="Times New Roman"/>
          <w:lang w:val="en-GB"/>
        </w:rPr>
        <w:t>seek remains imperative.</w:t>
      </w:r>
    </w:p>
    <w:p w14:paraId="113C7D6B" w14:textId="77777777" w:rsidR="00A53FFD" w:rsidRPr="00325A68" w:rsidRDefault="00A53FFD" w:rsidP="00A53FFD">
      <w:pPr>
        <w:jc w:val="both"/>
        <w:rPr>
          <w:rFonts w:ascii="Times New Roman" w:hAnsi="Times New Roman" w:cs="Times New Roman"/>
          <w:lang w:val="en-GB"/>
        </w:rPr>
      </w:pPr>
    </w:p>
    <w:p w14:paraId="58A4318F" w14:textId="77777777" w:rsidR="00F42406" w:rsidRPr="00325A68" w:rsidRDefault="00F42406" w:rsidP="00A53FFD">
      <w:pPr>
        <w:pStyle w:val="Heading1"/>
        <w:jc w:val="both"/>
        <w:rPr>
          <w:rFonts w:ascii="Times New Roman" w:hAnsi="Times New Roman" w:cs="Times New Roman"/>
          <w:lang w:val="en-GB"/>
        </w:rPr>
      </w:pPr>
      <w:bookmarkStart w:id="4" w:name="_Toc10540857"/>
      <w:r w:rsidRPr="00325A68">
        <w:rPr>
          <w:rFonts w:ascii="Times New Roman" w:hAnsi="Times New Roman" w:cs="Times New Roman"/>
          <w:lang w:val="en-GB"/>
        </w:rPr>
        <w:t>Conclusion</w:t>
      </w:r>
      <w:bookmarkEnd w:id="4"/>
    </w:p>
    <w:p w14:paraId="2E0E23ED" w14:textId="77777777" w:rsidR="00F42406" w:rsidRPr="00325A68" w:rsidRDefault="00F42406" w:rsidP="00A53FFD">
      <w:pPr>
        <w:jc w:val="both"/>
        <w:rPr>
          <w:rFonts w:ascii="Times New Roman" w:hAnsi="Times New Roman" w:cs="Times New Roman"/>
          <w:lang w:val="en-GB"/>
        </w:rPr>
      </w:pPr>
    </w:p>
    <w:p w14:paraId="5C818F63" w14:textId="6F43B36A" w:rsidR="00F42406" w:rsidRPr="00325A68" w:rsidRDefault="00F42406" w:rsidP="00325A68">
      <w:pPr>
        <w:pStyle w:val="ListParagraph"/>
        <w:numPr>
          <w:ilvl w:val="0"/>
          <w:numId w:val="1"/>
        </w:numPr>
        <w:jc w:val="both"/>
        <w:rPr>
          <w:rFonts w:ascii="Times New Roman" w:hAnsi="Times New Roman" w:cs="Times New Roman"/>
          <w:lang w:val="en-GB"/>
        </w:rPr>
      </w:pPr>
      <w:r w:rsidRPr="00325A68">
        <w:rPr>
          <w:rFonts w:ascii="Times New Roman" w:hAnsi="Times New Roman" w:cs="Times New Roman"/>
          <w:lang w:val="en-GB"/>
        </w:rPr>
        <w:t xml:space="preserve">For the reasons set out in the </w:t>
      </w:r>
      <w:r w:rsidR="003D727F">
        <w:rPr>
          <w:rFonts w:ascii="Times New Roman" w:hAnsi="Times New Roman" w:cs="Times New Roman"/>
          <w:lang w:val="en-GB"/>
        </w:rPr>
        <w:t>Communication and specifically section 6 of the Communication</w:t>
      </w:r>
      <w:r w:rsidRPr="00325A68">
        <w:rPr>
          <w:rFonts w:ascii="Times New Roman" w:hAnsi="Times New Roman" w:cs="Times New Roman"/>
          <w:lang w:val="en-GB"/>
        </w:rPr>
        <w:t xml:space="preserve">, and these comments in reply to the State party’s observations, the </w:t>
      </w:r>
      <w:r w:rsidR="00D17350" w:rsidRPr="00325A68">
        <w:rPr>
          <w:rFonts w:ascii="Times New Roman" w:hAnsi="Times New Roman" w:cs="Times New Roman"/>
          <w:lang w:val="en-GB"/>
        </w:rPr>
        <w:t>A</w:t>
      </w:r>
      <w:r w:rsidRPr="00325A68">
        <w:rPr>
          <w:rFonts w:ascii="Times New Roman" w:hAnsi="Times New Roman" w:cs="Times New Roman"/>
          <w:lang w:val="en-GB"/>
        </w:rPr>
        <w:t>uthors maintain that the State party has breached Article 19 of the ICCPR by prosecuting the HRCM for the content of its communications to the UN and by limiting future communication between the HRCM and the UN. The authors reiterate that the HRCM’s communication with the UN is an expression</w:t>
      </w:r>
      <w:r w:rsidR="003D727F">
        <w:rPr>
          <w:rFonts w:ascii="Times New Roman" w:hAnsi="Times New Roman" w:cs="Times New Roman"/>
          <w:lang w:val="en-GB"/>
        </w:rPr>
        <w:t xml:space="preserve"> </w:t>
      </w:r>
      <w:r w:rsidRPr="00325A68">
        <w:rPr>
          <w:rFonts w:ascii="Times New Roman" w:hAnsi="Times New Roman" w:cs="Times New Roman"/>
          <w:lang w:val="en-GB"/>
        </w:rPr>
        <w:t>protected under Article 19(2) and that the restrictions on that expression constitute a reprisal for accessing and communicating with the UN and fall short of the requirements for permissible restrictions under Article 19(3) of the ICCPR.</w:t>
      </w:r>
    </w:p>
    <w:p w14:paraId="7166BC94" w14:textId="77777777" w:rsidR="00F42406" w:rsidRPr="00325A68" w:rsidRDefault="00F42406" w:rsidP="00A53FFD">
      <w:pPr>
        <w:pStyle w:val="ListParagraph"/>
        <w:ind w:left="360"/>
        <w:jc w:val="both"/>
        <w:rPr>
          <w:rFonts w:ascii="Times New Roman" w:hAnsi="Times New Roman" w:cs="Times New Roman"/>
          <w:lang w:val="en-GB"/>
        </w:rPr>
      </w:pPr>
    </w:p>
    <w:p w14:paraId="0D5D5E06" w14:textId="77777777" w:rsidR="00F42406" w:rsidRPr="00325A68" w:rsidRDefault="00F42406" w:rsidP="00A53FFD">
      <w:pPr>
        <w:pStyle w:val="ListParagraph"/>
        <w:numPr>
          <w:ilvl w:val="0"/>
          <w:numId w:val="1"/>
        </w:numPr>
        <w:jc w:val="both"/>
        <w:rPr>
          <w:rFonts w:ascii="Times New Roman" w:hAnsi="Times New Roman" w:cs="Times New Roman"/>
          <w:lang w:val="en-GB"/>
        </w:rPr>
      </w:pPr>
      <w:r w:rsidRPr="00325A68">
        <w:rPr>
          <w:rFonts w:ascii="Times New Roman" w:hAnsi="Times New Roman" w:cs="Times New Roman"/>
          <w:lang w:val="en-GB"/>
        </w:rPr>
        <w:t xml:space="preserve">The authors </w:t>
      </w:r>
      <w:r w:rsidR="00831704" w:rsidRPr="00325A68">
        <w:rPr>
          <w:rFonts w:ascii="Times New Roman" w:hAnsi="Times New Roman" w:cs="Times New Roman"/>
          <w:lang w:val="en-GB"/>
        </w:rPr>
        <w:t>reiterate</w:t>
      </w:r>
      <w:r w:rsidRPr="00325A68">
        <w:rPr>
          <w:rFonts w:ascii="Times New Roman" w:hAnsi="Times New Roman" w:cs="Times New Roman"/>
          <w:lang w:val="en-GB"/>
        </w:rPr>
        <w:t xml:space="preserve"> that the following would provide an effective remedy for this breach</w:t>
      </w:r>
      <w:r w:rsidR="000D2460" w:rsidRPr="00325A68">
        <w:rPr>
          <w:rFonts w:ascii="Times New Roman" w:hAnsi="Times New Roman" w:cs="Times New Roman"/>
          <w:lang w:val="en-GB"/>
        </w:rPr>
        <w:t xml:space="preserve"> and hereby request that t</w:t>
      </w:r>
      <w:r w:rsidRPr="00325A68">
        <w:rPr>
          <w:rFonts w:ascii="Times New Roman" w:hAnsi="Times New Roman" w:cs="Times New Roman"/>
          <w:lang w:val="en-GB"/>
        </w:rPr>
        <w:t>he Committee:</w:t>
      </w:r>
    </w:p>
    <w:p w14:paraId="51ECC127" w14:textId="77777777" w:rsidR="00831704" w:rsidRPr="00325A68" w:rsidRDefault="00831704" w:rsidP="00A53FFD">
      <w:pPr>
        <w:pStyle w:val="ListParagraph"/>
        <w:ind w:left="1080"/>
        <w:jc w:val="both"/>
        <w:rPr>
          <w:rFonts w:ascii="Times New Roman" w:hAnsi="Times New Roman" w:cs="Times New Roman"/>
          <w:lang w:val="en-GB"/>
        </w:rPr>
      </w:pPr>
    </w:p>
    <w:p w14:paraId="02BADF1F" w14:textId="6039095C" w:rsidR="000D2460" w:rsidRPr="00122722" w:rsidRDefault="00122722" w:rsidP="00122722">
      <w:pPr>
        <w:pStyle w:val="ListParagraph"/>
        <w:numPr>
          <w:ilvl w:val="1"/>
          <w:numId w:val="4"/>
        </w:numPr>
        <w:jc w:val="both"/>
        <w:rPr>
          <w:rFonts w:ascii="Times New Roman" w:hAnsi="Times New Roman" w:cs="Times New Roman"/>
          <w:lang w:val="en-GB"/>
        </w:rPr>
      </w:pPr>
      <w:r>
        <w:rPr>
          <w:rFonts w:ascii="Times New Roman" w:hAnsi="Times New Roman" w:cs="Times New Roman"/>
          <w:lang w:val="en-GB"/>
        </w:rPr>
        <w:t xml:space="preserve"> </w:t>
      </w:r>
      <w:r w:rsidR="00F42406" w:rsidRPr="00122722">
        <w:rPr>
          <w:rFonts w:ascii="Times New Roman" w:hAnsi="Times New Roman" w:cs="Times New Roman"/>
          <w:lang w:val="en-GB"/>
        </w:rPr>
        <w:t>Declare a violation of the Authors’ rights under Article 19 of the ICCPR;</w:t>
      </w:r>
    </w:p>
    <w:p w14:paraId="560E5598" w14:textId="77777777" w:rsidR="000D2460" w:rsidRPr="00325A68" w:rsidRDefault="000D2460" w:rsidP="00A53FFD">
      <w:pPr>
        <w:pStyle w:val="ListParagraph"/>
        <w:ind w:left="1140"/>
        <w:jc w:val="both"/>
        <w:rPr>
          <w:rFonts w:ascii="Times New Roman" w:hAnsi="Times New Roman" w:cs="Times New Roman"/>
          <w:lang w:val="en-GB"/>
        </w:rPr>
      </w:pPr>
    </w:p>
    <w:p w14:paraId="7EF67DEF" w14:textId="5F447493" w:rsidR="000D2460" w:rsidRPr="00122722" w:rsidRDefault="00122722" w:rsidP="00122722">
      <w:pPr>
        <w:pStyle w:val="ListParagraph"/>
        <w:numPr>
          <w:ilvl w:val="1"/>
          <w:numId w:val="4"/>
        </w:numPr>
        <w:jc w:val="both"/>
        <w:rPr>
          <w:rFonts w:ascii="Times New Roman" w:hAnsi="Times New Roman" w:cs="Times New Roman"/>
          <w:lang w:val="en-GB"/>
        </w:rPr>
      </w:pPr>
      <w:r>
        <w:rPr>
          <w:rFonts w:ascii="Times New Roman" w:hAnsi="Times New Roman" w:cs="Times New Roman"/>
          <w:lang w:val="en-GB"/>
        </w:rPr>
        <w:t xml:space="preserve"> </w:t>
      </w:r>
      <w:r w:rsidR="00F42406" w:rsidRPr="00122722">
        <w:rPr>
          <w:rFonts w:ascii="Times New Roman" w:hAnsi="Times New Roman" w:cs="Times New Roman"/>
          <w:lang w:val="en-GB"/>
        </w:rPr>
        <w:t>Declare specifically that:</w:t>
      </w:r>
    </w:p>
    <w:p w14:paraId="514A493C" w14:textId="77777777" w:rsidR="000D2460" w:rsidRPr="00325A68" w:rsidRDefault="000D2460" w:rsidP="00A53FFD">
      <w:pPr>
        <w:pStyle w:val="ListParagraph"/>
        <w:jc w:val="both"/>
        <w:rPr>
          <w:rFonts w:ascii="Times New Roman" w:hAnsi="Times New Roman" w:cs="Times New Roman"/>
          <w:lang w:val="en-GB"/>
        </w:rPr>
      </w:pPr>
    </w:p>
    <w:p w14:paraId="29E8761D" w14:textId="22587EAD" w:rsidR="000D2460" w:rsidRPr="00325A68" w:rsidRDefault="00F42406" w:rsidP="00122722">
      <w:pPr>
        <w:pStyle w:val="ListParagraph"/>
        <w:numPr>
          <w:ilvl w:val="2"/>
          <w:numId w:val="4"/>
        </w:numPr>
        <w:jc w:val="both"/>
        <w:rPr>
          <w:rFonts w:ascii="Times New Roman" w:hAnsi="Times New Roman" w:cs="Times New Roman"/>
          <w:lang w:val="en-GB"/>
        </w:rPr>
      </w:pPr>
      <w:r w:rsidRPr="00325A68">
        <w:rPr>
          <w:rFonts w:ascii="Times New Roman" w:hAnsi="Times New Roman" w:cs="Times New Roman"/>
          <w:lang w:val="en-GB"/>
        </w:rPr>
        <w:t xml:space="preserve">the violations of the Authors’ </w:t>
      </w:r>
      <w:r w:rsidR="00D17350" w:rsidRPr="00325A68">
        <w:rPr>
          <w:rFonts w:ascii="Times New Roman" w:hAnsi="Times New Roman" w:cs="Times New Roman"/>
          <w:lang w:val="en-GB"/>
        </w:rPr>
        <w:t xml:space="preserve">right to </w:t>
      </w:r>
      <w:r w:rsidRPr="00325A68">
        <w:rPr>
          <w:rFonts w:ascii="Times New Roman" w:hAnsi="Times New Roman" w:cs="Times New Roman"/>
          <w:lang w:val="en-GB"/>
        </w:rPr>
        <w:t xml:space="preserve">freedom of expression </w:t>
      </w:r>
      <w:r w:rsidR="00D17350" w:rsidRPr="00325A68">
        <w:rPr>
          <w:rFonts w:ascii="Times New Roman" w:hAnsi="Times New Roman" w:cs="Times New Roman"/>
          <w:lang w:val="en-GB"/>
        </w:rPr>
        <w:t xml:space="preserve">do not fall under any stipulated restrictions in Article 19(3) of the ICCPR, specifically they </w:t>
      </w:r>
      <w:r w:rsidRPr="00325A68">
        <w:rPr>
          <w:rFonts w:ascii="Times New Roman" w:hAnsi="Times New Roman" w:cs="Times New Roman"/>
          <w:lang w:val="en-GB"/>
        </w:rPr>
        <w:t>were not “provided for by law”</w:t>
      </w:r>
      <w:r w:rsidR="00D17350" w:rsidRPr="00325A68">
        <w:rPr>
          <w:rFonts w:ascii="Times New Roman" w:hAnsi="Times New Roman" w:cs="Times New Roman"/>
          <w:lang w:val="en-GB"/>
        </w:rPr>
        <w:t>. A</w:t>
      </w:r>
      <w:r w:rsidRPr="00325A68">
        <w:rPr>
          <w:rFonts w:ascii="Times New Roman" w:hAnsi="Times New Roman" w:cs="Times New Roman"/>
          <w:lang w:val="en-GB"/>
        </w:rPr>
        <w:t>s</w:t>
      </w:r>
      <w:r w:rsidR="00831704" w:rsidRPr="00325A68">
        <w:rPr>
          <w:rFonts w:ascii="Times New Roman" w:hAnsi="Times New Roman" w:cs="Times New Roman"/>
          <w:lang w:val="en-GB"/>
        </w:rPr>
        <w:t xml:space="preserve"> </w:t>
      </w:r>
      <w:r w:rsidRPr="00325A68">
        <w:rPr>
          <w:rFonts w:ascii="Times New Roman" w:hAnsi="Times New Roman" w:cs="Times New Roman"/>
          <w:lang w:val="en-GB"/>
        </w:rPr>
        <w:t>neither the Charges nor the Guidelines were formulated with sufficient precision to</w:t>
      </w:r>
      <w:r w:rsidR="00831704" w:rsidRPr="00325A68">
        <w:rPr>
          <w:rFonts w:ascii="Times New Roman" w:hAnsi="Times New Roman" w:cs="Times New Roman"/>
          <w:lang w:val="en-GB"/>
        </w:rPr>
        <w:t xml:space="preserve"> </w:t>
      </w:r>
      <w:r w:rsidRPr="00325A68">
        <w:rPr>
          <w:rFonts w:ascii="Times New Roman" w:hAnsi="Times New Roman" w:cs="Times New Roman"/>
          <w:lang w:val="en-GB"/>
        </w:rPr>
        <w:t>enable an individual to ascertain what is properly restricted and regulate his or her</w:t>
      </w:r>
      <w:r w:rsidR="00831704" w:rsidRPr="00325A68">
        <w:rPr>
          <w:rFonts w:ascii="Times New Roman" w:hAnsi="Times New Roman" w:cs="Times New Roman"/>
          <w:lang w:val="en-GB"/>
        </w:rPr>
        <w:t xml:space="preserve"> </w:t>
      </w:r>
      <w:r w:rsidRPr="00325A68">
        <w:rPr>
          <w:rFonts w:ascii="Times New Roman" w:hAnsi="Times New Roman" w:cs="Times New Roman"/>
          <w:lang w:val="en-GB"/>
        </w:rPr>
        <w:t>conduct accordingly, and conferred unfettered discretion on the Court, which is in turn</w:t>
      </w:r>
      <w:r w:rsidR="00831704" w:rsidRPr="00325A68">
        <w:rPr>
          <w:rFonts w:ascii="Times New Roman" w:hAnsi="Times New Roman" w:cs="Times New Roman"/>
          <w:lang w:val="en-GB"/>
        </w:rPr>
        <w:t xml:space="preserve"> </w:t>
      </w:r>
      <w:r w:rsidRPr="00325A68">
        <w:rPr>
          <w:rFonts w:ascii="Times New Roman" w:hAnsi="Times New Roman" w:cs="Times New Roman"/>
          <w:lang w:val="en-GB"/>
        </w:rPr>
        <w:t>charged with their execution;</w:t>
      </w:r>
    </w:p>
    <w:p w14:paraId="5607FEEA" w14:textId="77777777" w:rsidR="000D2460" w:rsidRPr="00325A68" w:rsidRDefault="000D2460" w:rsidP="00A53FFD">
      <w:pPr>
        <w:pStyle w:val="ListParagraph"/>
        <w:ind w:left="2160"/>
        <w:jc w:val="both"/>
        <w:rPr>
          <w:rFonts w:ascii="Times New Roman" w:hAnsi="Times New Roman" w:cs="Times New Roman"/>
          <w:lang w:val="en-GB"/>
        </w:rPr>
      </w:pPr>
    </w:p>
    <w:p w14:paraId="0BCB42AF" w14:textId="77777777" w:rsidR="000D2460" w:rsidRPr="00325A68" w:rsidRDefault="00F42406" w:rsidP="00122722">
      <w:pPr>
        <w:pStyle w:val="ListParagraph"/>
        <w:numPr>
          <w:ilvl w:val="2"/>
          <w:numId w:val="4"/>
        </w:numPr>
        <w:jc w:val="both"/>
        <w:rPr>
          <w:rFonts w:ascii="Times New Roman" w:hAnsi="Times New Roman" w:cs="Times New Roman"/>
          <w:lang w:val="en-GB"/>
        </w:rPr>
      </w:pPr>
      <w:r w:rsidRPr="00325A68">
        <w:rPr>
          <w:rFonts w:ascii="Times New Roman" w:hAnsi="Times New Roman" w:cs="Times New Roman"/>
          <w:lang w:val="en-GB"/>
        </w:rPr>
        <w:t>the Charges and Guidelines were per se violations of Article 19 because they did not</w:t>
      </w:r>
      <w:r w:rsidR="00831704" w:rsidRPr="00325A68">
        <w:rPr>
          <w:rFonts w:ascii="Times New Roman" w:hAnsi="Times New Roman" w:cs="Times New Roman"/>
          <w:lang w:val="en-GB"/>
        </w:rPr>
        <w:t xml:space="preserve"> </w:t>
      </w:r>
      <w:r w:rsidRPr="00325A68">
        <w:rPr>
          <w:rFonts w:ascii="Times New Roman" w:hAnsi="Times New Roman" w:cs="Times New Roman"/>
          <w:lang w:val="en-GB"/>
        </w:rPr>
        <w:t>pursue a legitimate aim;</w:t>
      </w:r>
    </w:p>
    <w:p w14:paraId="0FC9E7BA" w14:textId="77777777" w:rsidR="000D2460" w:rsidRPr="00325A68" w:rsidRDefault="000D2460" w:rsidP="00A53FFD">
      <w:pPr>
        <w:pStyle w:val="ListParagraph"/>
        <w:jc w:val="both"/>
        <w:rPr>
          <w:rFonts w:ascii="Times New Roman" w:hAnsi="Times New Roman" w:cs="Times New Roman"/>
          <w:lang w:val="en-GB"/>
        </w:rPr>
      </w:pPr>
    </w:p>
    <w:p w14:paraId="4FCB8E3B" w14:textId="77777777" w:rsidR="000D2460" w:rsidRPr="00325A68" w:rsidRDefault="00F42406" w:rsidP="00122722">
      <w:pPr>
        <w:pStyle w:val="ListParagraph"/>
        <w:numPr>
          <w:ilvl w:val="2"/>
          <w:numId w:val="4"/>
        </w:numPr>
        <w:jc w:val="both"/>
        <w:rPr>
          <w:rFonts w:ascii="Times New Roman" w:hAnsi="Times New Roman" w:cs="Times New Roman"/>
          <w:lang w:val="en-GB"/>
        </w:rPr>
      </w:pPr>
      <w:r w:rsidRPr="00325A68">
        <w:rPr>
          <w:rFonts w:ascii="Times New Roman" w:hAnsi="Times New Roman" w:cs="Times New Roman"/>
          <w:lang w:val="en-GB"/>
        </w:rPr>
        <w:t>neither the Charges nor the Guidelines were necessary in the pursuit of any legitimate</w:t>
      </w:r>
      <w:r w:rsidR="00831704" w:rsidRPr="00325A68">
        <w:rPr>
          <w:rFonts w:ascii="Times New Roman" w:hAnsi="Times New Roman" w:cs="Times New Roman"/>
          <w:lang w:val="en-GB"/>
        </w:rPr>
        <w:t xml:space="preserve"> </w:t>
      </w:r>
      <w:r w:rsidRPr="00325A68">
        <w:rPr>
          <w:rFonts w:ascii="Times New Roman" w:hAnsi="Times New Roman" w:cs="Times New Roman"/>
          <w:lang w:val="en-GB"/>
        </w:rPr>
        <w:t>aim;</w:t>
      </w:r>
    </w:p>
    <w:p w14:paraId="4F1C4819" w14:textId="77777777" w:rsidR="000D2460" w:rsidRPr="00325A68" w:rsidRDefault="000D2460" w:rsidP="00A53FFD">
      <w:pPr>
        <w:pStyle w:val="ListParagraph"/>
        <w:jc w:val="both"/>
        <w:rPr>
          <w:rFonts w:ascii="Times New Roman" w:hAnsi="Times New Roman" w:cs="Times New Roman"/>
          <w:lang w:val="en-GB"/>
        </w:rPr>
      </w:pPr>
    </w:p>
    <w:p w14:paraId="0B06B8AF" w14:textId="77777777" w:rsidR="000D2460" w:rsidRPr="00325A68" w:rsidRDefault="00F42406" w:rsidP="00122722">
      <w:pPr>
        <w:pStyle w:val="ListParagraph"/>
        <w:numPr>
          <w:ilvl w:val="2"/>
          <w:numId w:val="4"/>
        </w:numPr>
        <w:jc w:val="both"/>
        <w:rPr>
          <w:rFonts w:ascii="Times New Roman" w:hAnsi="Times New Roman" w:cs="Times New Roman"/>
          <w:lang w:val="en-GB"/>
        </w:rPr>
      </w:pPr>
      <w:r w:rsidRPr="00325A68">
        <w:rPr>
          <w:rFonts w:ascii="Times New Roman" w:hAnsi="Times New Roman" w:cs="Times New Roman"/>
          <w:lang w:val="en-GB"/>
        </w:rPr>
        <w:t>the Charges and Guidelines were reprisals against the Authors for communicating with</w:t>
      </w:r>
      <w:r w:rsidR="00831704" w:rsidRPr="00325A68">
        <w:rPr>
          <w:rFonts w:ascii="Times New Roman" w:hAnsi="Times New Roman" w:cs="Times New Roman"/>
          <w:lang w:val="en-GB"/>
        </w:rPr>
        <w:t xml:space="preserve"> </w:t>
      </w:r>
      <w:r w:rsidRPr="00325A68">
        <w:rPr>
          <w:rFonts w:ascii="Times New Roman" w:hAnsi="Times New Roman" w:cs="Times New Roman"/>
          <w:lang w:val="en-GB"/>
        </w:rPr>
        <w:t>the UN, which is expression protected under Article 19;</w:t>
      </w:r>
    </w:p>
    <w:p w14:paraId="1BE7BDA2" w14:textId="77777777" w:rsidR="000D2460" w:rsidRPr="00122722" w:rsidRDefault="000D2460" w:rsidP="00122722">
      <w:pPr>
        <w:jc w:val="both"/>
        <w:rPr>
          <w:rFonts w:ascii="Times New Roman" w:hAnsi="Times New Roman" w:cs="Times New Roman"/>
          <w:lang w:val="en-GB"/>
        </w:rPr>
      </w:pPr>
    </w:p>
    <w:p w14:paraId="32DA38C8" w14:textId="6B6414A1" w:rsidR="00EA3FCD" w:rsidRPr="00122722" w:rsidRDefault="00831704" w:rsidP="004F7737">
      <w:pPr>
        <w:pStyle w:val="ListParagraph"/>
        <w:numPr>
          <w:ilvl w:val="0"/>
          <w:numId w:val="1"/>
        </w:numPr>
        <w:jc w:val="both"/>
        <w:rPr>
          <w:lang w:val="en-GB"/>
        </w:rPr>
      </w:pPr>
      <w:r w:rsidRPr="00122722">
        <w:rPr>
          <w:rFonts w:ascii="Times New Roman" w:hAnsi="Times New Roman" w:cs="Times New Roman"/>
          <w:lang w:val="en-GB"/>
        </w:rPr>
        <w:t xml:space="preserve">In light of the State party’s </w:t>
      </w:r>
      <w:r w:rsidR="000D2460" w:rsidRPr="00122722">
        <w:rPr>
          <w:rFonts w:ascii="Times New Roman" w:hAnsi="Times New Roman" w:cs="Times New Roman"/>
          <w:lang w:val="en-GB"/>
        </w:rPr>
        <w:t>observations</w:t>
      </w:r>
      <w:r w:rsidRPr="00122722">
        <w:rPr>
          <w:rFonts w:ascii="Times New Roman" w:hAnsi="Times New Roman" w:cs="Times New Roman"/>
          <w:lang w:val="en-GB"/>
        </w:rPr>
        <w:t xml:space="preserve">, the authors furthermore request that the Committee call on the State party to support, and the legislature to pass, the proposed Bill. </w:t>
      </w:r>
    </w:p>
    <w:p w14:paraId="78C11FDA" w14:textId="77777777" w:rsidR="00D17350" w:rsidRDefault="00D17350" w:rsidP="00A53FFD">
      <w:pPr>
        <w:jc w:val="both"/>
        <w:rPr>
          <w:lang w:val="en-GB"/>
        </w:rPr>
      </w:pPr>
    </w:p>
    <w:p w14:paraId="23EFEE2D" w14:textId="77777777" w:rsidR="00D17350" w:rsidRPr="00CE48CA" w:rsidRDefault="00D17350" w:rsidP="00A53FFD">
      <w:pPr>
        <w:jc w:val="both"/>
        <w:rPr>
          <w:lang w:val="en-GB"/>
        </w:rPr>
      </w:pPr>
    </w:p>
    <w:sectPr w:rsidR="00D17350" w:rsidRPr="00CE48CA" w:rsidSect="00A53FFD">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76CF0" w14:textId="77777777" w:rsidR="00B401A6" w:rsidRDefault="00B401A6" w:rsidP="00776A35">
      <w:r>
        <w:separator/>
      </w:r>
    </w:p>
  </w:endnote>
  <w:endnote w:type="continuationSeparator" w:id="0">
    <w:p w14:paraId="1FFA073D" w14:textId="77777777" w:rsidR="00B401A6" w:rsidRDefault="00B401A6" w:rsidP="007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9539300"/>
      <w:docPartObj>
        <w:docPartGallery w:val="Page Numbers (Bottom of Page)"/>
        <w:docPartUnique/>
      </w:docPartObj>
    </w:sdtPr>
    <w:sdtEndPr>
      <w:rPr>
        <w:rStyle w:val="PageNumber"/>
      </w:rPr>
    </w:sdtEndPr>
    <w:sdtContent>
      <w:p w14:paraId="19018B07" w14:textId="77777777" w:rsidR="001F66FF" w:rsidRDefault="001F66FF" w:rsidP="00CA1E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3F3979" w14:textId="77777777" w:rsidR="001F66FF" w:rsidRDefault="001F66FF" w:rsidP="00A53F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0850643"/>
      <w:docPartObj>
        <w:docPartGallery w:val="Page Numbers (Bottom of Page)"/>
        <w:docPartUnique/>
      </w:docPartObj>
    </w:sdtPr>
    <w:sdtEndPr>
      <w:rPr>
        <w:rStyle w:val="PageNumber"/>
      </w:rPr>
    </w:sdtEndPr>
    <w:sdtContent>
      <w:p w14:paraId="79641CE3" w14:textId="77777777" w:rsidR="001F66FF" w:rsidRDefault="001F66FF" w:rsidP="00CA1E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5043">
          <w:rPr>
            <w:rStyle w:val="PageNumber"/>
            <w:noProof/>
          </w:rPr>
          <w:t>4</w:t>
        </w:r>
        <w:r>
          <w:rPr>
            <w:rStyle w:val="PageNumber"/>
          </w:rPr>
          <w:fldChar w:fldCharType="end"/>
        </w:r>
      </w:p>
    </w:sdtContent>
  </w:sdt>
  <w:p w14:paraId="10B52FC5" w14:textId="77777777" w:rsidR="001F66FF" w:rsidRDefault="001F66FF" w:rsidP="00A53F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5D026" w14:textId="77777777" w:rsidR="00B401A6" w:rsidRDefault="00B401A6" w:rsidP="00776A35">
      <w:r>
        <w:separator/>
      </w:r>
    </w:p>
  </w:footnote>
  <w:footnote w:type="continuationSeparator" w:id="0">
    <w:p w14:paraId="38375080" w14:textId="77777777" w:rsidR="00B401A6" w:rsidRDefault="00B401A6" w:rsidP="00776A35">
      <w:r>
        <w:continuationSeparator/>
      </w:r>
    </w:p>
  </w:footnote>
  <w:footnote w:id="1">
    <w:p w14:paraId="1F606E66" w14:textId="77777777" w:rsidR="001F66FF" w:rsidRPr="00122722" w:rsidRDefault="001F66FF" w:rsidP="00776A35">
      <w:pPr>
        <w:pStyle w:val="FootnoteText"/>
        <w:rPr>
          <w:rFonts w:ascii="Times New Roman" w:hAnsi="Times New Roman" w:cs="Times New Roman"/>
        </w:rPr>
      </w:pPr>
      <w:r w:rsidRPr="00122722">
        <w:rPr>
          <w:rStyle w:val="FootnoteReference"/>
          <w:rFonts w:ascii="Times New Roman" w:hAnsi="Times New Roman" w:cs="Times New Roman"/>
        </w:rPr>
        <w:footnoteRef/>
      </w:r>
      <w:r w:rsidRPr="00122722">
        <w:rPr>
          <w:rFonts w:ascii="Times New Roman" w:hAnsi="Times New Roman" w:cs="Times New Roman"/>
        </w:rPr>
        <w:t xml:space="preserve"> Human Rights Commission of the Maldives (HRCM) Submission to the Universal Periodic Review of the Maldives, April–May 2015 (22nd session), September 2014, available at:</w:t>
      </w:r>
    </w:p>
    <w:p w14:paraId="51780F14" w14:textId="77777777" w:rsidR="001F66FF" w:rsidRPr="00122722" w:rsidRDefault="00B401A6" w:rsidP="00776A35">
      <w:pPr>
        <w:pStyle w:val="FootnoteText"/>
        <w:rPr>
          <w:rFonts w:ascii="Times New Roman" w:hAnsi="Times New Roman" w:cs="Times New Roman"/>
        </w:rPr>
      </w:pPr>
      <w:hyperlink r:id="rId1" w:history="1">
        <w:r w:rsidR="001F66FF" w:rsidRPr="00122722">
          <w:rPr>
            <w:rStyle w:val="Hyperlink"/>
            <w:rFonts w:ascii="Times New Roman" w:hAnsi="Times New Roman" w:cs="Times New Roman"/>
          </w:rPr>
          <w:t>http://www.hrcm.org.mv/Publications/otherdocuments/UPR_submission_Sept_2014.pdf</w:t>
        </w:r>
      </w:hyperlink>
      <w:r w:rsidR="001F66FF" w:rsidRPr="00122722">
        <w:rPr>
          <w:rFonts w:ascii="Times New Roman" w:hAnsi="Times New Roman" w:cs="Times New Roman"/>
        </w:rPr>
        <w:t>.</w:t>
      </w:r>
    </w:p>
    <w:p w14:paraId="1553FA00" w14:textId="07290616" w:rsidR="001F66FF" w:rsidRPr="00122722" w:rsidRDefault="001F66FF">
      <w:pPr>
        <w:pStyle w:val="FootnoteText"/>
        <w:rPr>
          <w:rFonts w:ascii="Times New Roman" w:hAnsi="Times New Roman" w:cs="Times New Roman"/>
        </w:rPr>
      </w:pPr>
      <w:r w:rsidRPr="00122722">
        <w:rPr>
          <w:rFonts w:ascii="Times New Roman" w:hAnsi="Times New Roman" w:cs="Times New Roman"/>
        </w:rPr>
        <w:t xml:space="preserve">The UPR process provides for the participation of all relevant stakeholders, including non-governmental organizations (NGOs) and national human rights institutions (NHRIs). NGOs and NHRIs can submit information that can be added to the “other stakeholders” report which is considered during the review. Information they provide can be referred to by any of the States taking part in the interactive discussion during the review at the Working Group meeting. See UN Human Rights Council, Institution-building of the United Nations Human Rights Council, 18 June 2007, A/HRC/RES/5/1 at Annex para 3(m)., available at: </w:t>
      </w:r>
      <w:hyperlink r:id="rId2" w:history="1">
        <w:r w:rsidRPr="00122722">
          <w:rPr>
            <w:rStyle w:val="Hyperlink"/>
            <w:rFonts w:ascii="Times New Roman" w:hAnsi="Times New Roman" w:cs="Times New Roman"/>
          </w:rPr>
          <w:t>http://ap.ohchr.org/documents/E/HRC/resolutions/A_HRC_RES_5_1.doc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32DC"/>
    <w:multiLevelType w:val="hybridMultilevel"/>
    <w:tmpl w:val="D7B25272"/>
    <w:lvl w:ilvl="0" w:tplc="0409000F">
      <w:start w:val="1"/>
      <w:numFmt w:val="decimal"/>
      <w:lvlText w:val="%1."/>
      <w:lvlJc w:val="left"/>
      <w:pPr>
        <w:ind w:left="360" w:hanging="360"/>
      </w:pPr>
    </w:lvl>
    <w:lvl w:ilvl="1" w:tplc="6BDE97E4">
      <w:start w:val="1"/>
      <w:numFmt w:val="decimal"/>
      <w:lvlText w:val="8.%2."/>
      <w:lvlJc w:val="left"/>
      <w:pPr>
        <w:ind w:left="1080" w:hanging="360"/>
      </w:pPr>
      <w:rPr>
        <w:rFonts w:hint="default"/>
      </w:rPr>
    </w:lvl>
    <w:lvl w:ilvl="2" w:tplc="23E8D60E">
      <w:start w:val="1"/>
      <w:numFmt w:val="decimal"/>
      <w:lvlText w:val="8.%3.1."/>
      <w:lvlJc w:val="left"/>
      <w:pPr>
        <w:ind w:left="1980" w:hanging="360"/>
      </w:pPr>
      <w:rPr>
        <w:rFonts w:hint="default"/>
      </w:rPr>
    </w:lvl>
    <w:lvl w:ilvl="3" w:tplc="8036352A">
      <w:start w:val="1"/>
      <w:numFmt w:val="decimal"/>
      <w:lvlText w:val="8.2.%4.1"/>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D4DD3"/>
    <w:multiLevelType w:val="multilevel"/>
    <w:tmpl w:val="BE205F48"/>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BA605D6"/>
    <w:multiLevelType w:val="multilevel"/>
    <w:tmpl w:val="2310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B6163"/>
    <w:multiLevelType w:val="multilevel"/>
    <w:tmpl w:val="B87CE30E"/>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8E"/>
    <w:rsid w:val="0007131B"/>
    <w:rsid w:val="000D2460"/>
    <w:rsid w:val="00112013"/>
    <w:rsid w:val="00122722"/>
    <w:rsid w:val="00192316"/>
    <w:rsid w:val="001F66FF"/>
    <w:rsid w:val="00325A68"/>
    <w:rsid w:val="003D727F"/>
    <w:rsid w:val="004161E7"/>
    <w:rsid w:val="00704D09"/>
    <w:rsid w:val="00776A35"/>
    <w:rsid w:val="00831704"/>
    <w:rsid w:val="00A17FEE"/>
    <w:rsid w:val="00A53FFD"/>
    <w:rsid w:val="00AD7918"/>
    <w:rsid w:val="00B138DF"/>
    <w:rsid w:val="00B401A6"/>
    <w:rsid w:val="00C3477C"/>
    <w:rsid w:val="00CA1E96"/>
    <w:rsid w:val="00CE48CA"/>
    <w:rsid w:val="00D17350"/>
    <w:rsid w:val="00D6340C"/>
    <w:rsid w:val="00DD5043"/>
    <w:rsid w:val="00DF52CA"/>
    <w:rsid w:val="00E64D16"/>
    <w:rsid w:val="00EA3FCD"/>
    <w:rsid w:val="00EB665E"/>
    <w:rsid w:val="00F041EE"/>
    <w:rsid w:val="00F42406"/>
    <w:rsid w:val="00F64F99"/>
    <w:rsid w:val="00FE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4F045"/>
  <w15:docId w15:val="{82F93894-7DB8-954C-9054-1A2F3C51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F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F8E"/>
    <w:rPr>
      <w:color w:val="0563C1" w:themeColor="hyperlink"/>
      <w:u w:val="single"/>
    </w:rPr>
  </w:style>
  <w:style w:type="character" w:customStyle="1" w:styleId="UnresolvedMention1">
    <w:name w:val="Unresolved Mention1"/>
    <w:basedOn w:val="DefaultParagraphFont"/>
    <w:uiPriority w:val="99"/>
    <w:semiHidden/>
    <w:unhideWhenUsed/>
    <w:rsid w:val="00FE3F8E"/>
    <w:rPr>
      <w:color w:val="605E5C"/>
      <w:shd w:val="clear" w:color="auto" w:fill="E1DFDD"/>
    </w:rPr>
  </w:style>
  <w:style w:type="character" w:customStyle="1" w:styleId="Heading1Char">
    <w:name w:val="Heading 1 Char"/>
    <w:basedOn w:val="DefaultParagraphFont"/>
    <w:link w:val="Heading1"/>
    <w:uiPriority w:val="9"/>
    <w:rsid w:val="00FE3F8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3F8E"/>
    <w:pPr>
      <w:ind w:left="720"/>
      <w:contextualSpacing/>
    </w:pPr>
  </w:style>
  <w:style w:type="paragraph" w:styleId="FootnoteText">
    <w:name w:val="footnote text"/>
    <w:basedOn w:val="Normal"/>
    <w:link w:val="FootnoteTextChar"/>
    <w:uiPriority w:val="99"/>
    <w:semiHidden/>
    <w:unhideWhenUsed/>
    <w:rsid w:val="00776A35"/>
    <w:rPr>
      <w:sz w:val="20"/>
      <w:szCs w:val="20"/>
    </w:rPr>
  </w:style>
  <w:style w:type="character" w:customStyle="1" w:styleId="FootnoteTextChar">
    <w:name w:val="Footnote Text Char"/>
    <w:basedOn w:val="DefaultParagraphFont"/>
    <w:link w:val="FootnoteText"/>
    <w:uiPriority w:val="99"/>
    <w:semiHidden/>
    <w:rsid w:val="00776A35"/>
    <w:rPr>
      <w:sz w:val="20"/>
      <w:szCs w:val="20"/>
    </w:rPr>
  </w:style>
  <w:style w:type="character" w:styleId="FootnoteReference">
    <w:name w:val="footnote reference"/>
    <w:basedOn w:val="DefaultParagraphFont"/>
    <w:uiPriority w:val="99"/>
    <w:semiHidden/>
    <w:unhideWhenUsed/>
    <w:rsid w:val="00776A35"/>
    <w:rPr>
      <w:vertAlign w:val="superscript"/>
    </w:rPr>
  </w:style>
  <w:style w:type="paragraph" w:styleId="TOC1">
    <w:name w:val="toc 1"/>
    <w:basedOn w:val="Normal"/>
    <w:next w:val="Normal"/>
    <w:autoRedefine/>
    <w:uiPriority w:val="39"/>
    <w:unhideWhenUsed/>
    <w:rsid w:val="00A53FFD"/>
    <w:pPr>
      <w:spacing w:after="100"/>
    </w:pPr>
  </w:style>
  <w:style w:type="paragraph" w:styleId="Footer">
    <w:name w:val="footer"/>
    <w:basedOn w:val="Normal"/>
    <w:link w:val="FooterChar"/>
    <w:uiPriority w:val="99"/>
    <w:unhideWhenUsed/>
    <w:rsid w:val="00A53FFD"/>
    <w:pPr>
      <w:tabs>
        <w:tab w:val="center" w:pos="4680"/>
        <w:tab w:val="right" w:pos="9360"/>
      </w:tabs>
    </w:pPr>
  </w:style>
  <w:style w:type="character" w:customStyle="1" w:styleId="FooterChar">
    <w:name w:val="Footer Char"/>
    <w:basedOn w:val="DefaultParagraphFont"/>
    <w:link w:val="Footer"/>
    <w:uiPriority w:val="99"/>
    <w:rsid w:val="00A53FFD"/>
  </w:style>
  <w:style w:type="character" w:styleId="PageNumber">
    <w:name w:val="page number"/>
    <w:basedOn w:val="DefaultParagraphFont"/>
    <w:uiPriority w:val="99"/>
    <w:semiHidden/>
    <w:unhideWhenUsed/>
    <w:rsid w:val="00A53FFD"/>
  </w:style>
  <w:style w:type="character" w:styleId="CommentReference">
    <w:name w:val="annotation reference"/>
    <w:basedOn w:val="DefaultParagraphFont"/>
    <w:uiPriority w:val="99"/>
    <w:semiHidden/>
    <w:unhideWhenUsed/>
    <w:rsid w:val="00CA1E96"/>
    <w:rPr>
      <w:sz w:val="18"/>
      <w:szCs w:val="18"/>
    </w:rPr>
  </w:style>
  <w:style w:type="paragraph" w:styleId="CommentText">
    <w:name w:val="annotation text"/>
    <w:basedOn w:val="Normal"/>
    <w:link w:val="CommentTextChar"/>
    <w:uiPriority w:val="99"/>
    <w:semiHidden/>
    <w:unhideWhenUsed/>
    <w:rsid w:val="00CA1E96"/>
  </w:style>
  <w:style w:type="character" w:customStyle="1" w:styleId="CommentTextChar">
    <w:name w:val="Comment Text Char"/>
    <w:basedOn w:val="DefaultParagraphFont"/>
    <w:link w:val="CommentText"/>
    <w:uiPriority w:val="99"/>
    <w:semiHidden/>
    <w:rsid w:val="00CA1E96"/>
  </w:style>
  <w:style w:type="paragraph" w:styleId="CommentSubject">
    <w:name w:val="annotation subject"/>
    <w:basedOn w:val="CommentText"/>
    <w:next w:val="CommentText"/>
    <w:link w:val="CommentSubjectChar"/>
    <w:uiPriority w:val="99"/>
    <w:semiHidden/>
    <w:unhideWhenUsed/>
    <w:rsid w:val="00CA1E96"/>
    <w:rPr>
      <w:b/>
      <w:bCs/>
      <w:sz w:val="20"/>
      <w:szCs w:val="20"/>
    </w:rPr>
  </w:style>
  <w:style w:type="character" w:customStyle="1" w:styleId="CommentSubjectChar">
    <w:name w:val="Comment Subject Char"/>
    <w:basedOn w:val="CommentTextChar"/>
    <w:link w:val="CommentSubject"/>
    <w:uiPriority w:val="99"/>
    <w:semiHidden/>
    <w:rsid w:val="00CA1E96"/>
    <w:rPr>
      <w:b/>
      <w:bCs/>
      <w:sz w:val="20"/>
      <w:szCs w:val="20"/>
    </w:rPr>
  </w:style>
  <w:style w:type="paragraph" w:styleId="Revision">
    <w:name w:val="Revision"/>
    <w:hidden/>
    <w:uiPriority w:val="99"/>
    <w:semiHidden/>
    <w:rsid w:val="00CA1E96"/>
  </w:style>
  <w:style w:type="paragraph" w:styleId="BalloonText">
    <w:name w:val="Balloon Text"/>
    <w:basedOn w:val="Normal"/>
    <w:link w:val="BalloonTextChar"/>
    <w:uiPriority w:val="99"/>
    <w:semiHidden/>
    <w:unhideWhenUsed/>
    <w:rsid w:val="00CA1E96"/>
    <w:rPr>
      <w:rFonts w:ascii="Lucida Grande" w:hAnsi="Lucida Grande"/>
      <w:sz w:val="18"/>
      <w:szCs w:val="18"/>
    </w:rPr>
  </w:style>
  <w:style w:type="character" w:customStyle="1" w:styleId="BalloonTextChar">
    <w:name w:val="Balloon Text Char"/>
    <w:basedOn w:val="DefaultParagraphFont"/>
    <w:link w:val="BalloonText"/>
    <w:uiPriority w:val="99"/>
    <w:semiHidden/>
    <w:rsid w:val="00CA1E96"/>
    <w:rPr>
      <w:rFonts w:ascii="Lucida Grande" w:hAnsi="Lucida Grande"/>
      <w:sz w:val="18"/>
      <w:szCs w:val="18"/>
    </w:rPr>
  </w:style>
  <w:style w:type="paragraph" w:styleId="NormalWeb">
    <w:name w:val="Normal (Web)"/>
    <w:basedOn w:val="Normal"/>
    <w:uiPriority w:val="99"/>
    <w:semiHidden/>
    <w:unhideWhenUsed/>
    <w:rsid w:val="00D1735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1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5008">
      <w:bodyDiv w:val="1"/>
      <w:marLeft w:val="0"/>
      <w:marRight w:val="0"/>
      <w:marTop w:val="0"/>
      <w:marBottom w:val="0"/>
      <w:divBdr>
        <w:top w:val="none" w:sz="0" w:space="0" w:color="auto"/>
        <w:left w:val="none" w:sz="0" w:space="0" w:color="auto"/>
        <w:bottom w:val="none" w:sz="0" w:space="0" w:color="auto"/>
        <w:right w:val="none" w:sz="0" w:space="0" w:color="auto"/>
      </w:divBdr>
      <w:divsChild>
        <w:div w:id="1576165529">
          <w:marLeft w:val="0"/>
          <w:marRight w:val="0"/>
          <w:marTop w:val="0"/>
          <w:marBottom w:val="0"/>
          <w:divBdr>
            <w:top w:val="none" w:sz="0" w:space="0" w:color="auto"/>
            <w:left w:val="none" w:sz="0" w:space="0" w:color="auto"/>
            <w:bottom w:val="none" w:sz="0" w:space="0" w:color="auto"/>
            <w:right w:val="none" w:sz="0" w:space="0" w:color="auto"/>
          </w:divBdr>
        </w:div>
        <w:div w:id="2019844402">
          <w:marLeft w:val="0"/>
          <w:marRight w:val="0"/>
          <w:marTop w:val="0"/>
          <w:marBottom w:val="0"/>
          <w:divBdr>
            <w:top w:val="none" w:sz="0" w:space="0" w:color="auto"/>
            <w:left w:val="none" w:sz="0" w:space="0" w:color="auto"/>
            <w:bottom w:val="none" w:sz="0" w:space="0" w:color="auto"/>
            <w:right w:val="none" w:sz="0" w:space="0" w:color="auto"/>
          </w:divBdr>
        </w:div>
        <w:div w:id="1901016191">
          <w:marLeft w:val="0"/>
          <w:marRight w:val="0"/>
          <w:marTop w:val="0"/>
          <w:marBottom w:val="0"/>
          <w:divBdr>
            <w:top w:val="none" w:sz="0" w:space="0" w:color="auto"/>
            <w:left w:val="none" w:sz="0" w:space="0" w:color="auto"/>
            <w:bottom w:val="none" w:sz="0" w:space="0" w:color="auto"/>
            <w:right w:val="none" w:sz="0" w:space="0" w:color="auto"/>
          </w:divBdr>
        </w:div>
      </w:divsChild>
    </w:div>
    <w:div w:id="780417155">
      <w:bodyDiv w:val="1"/>
      <w:marLeft w:val="0"/>
      <w:marRight w:val="0"/>
      <w:marTop w:val="0"/>
      <w:marBottom w:val="0"/>
      <w:divBdr>
        <w:top w:val="none" w:sz="0" w:space="0" w:color="auto"/>
        <w:left w:val="none" w:sz="0" w:space="0" w:color="auto"/>
        <w:bottom w:val="none" w:sz="0" w:space="0" w:color="auto"/>
        <w:right w:val="none" w:sz="0" w:space="0" w:color="auto"/>
      </w:divBdr>
      <w:divsChild>
        <w:div w:id="1051535776">
          <w:marLeft w:val="0"/>
          <w:marRight w:val="0"/>
          <w:marTop w:val="0"/>
          <w:marBottom w:val="0"/>
          <w:divBdr>
            <w:top w:val="none" w:sz="0" w:space="0" w:color="auto"/>
            <w:left w:val="none" w:sz="0" w:space="0" w:color="auto"/>
            <w:bottom w:val="none" w:sz="0" w:space="0" w:color="auto"/>
            <w:right w:val="none" w:sz="0" w:space="0" w:color="auto"/>
          </w:divBdr>
        </w:div>
        <w:div w:id="51127237">
          <w:marLeft w:val="0"/>
          <w:marRight w:val="0"/>
          <w:marTop w:val="0"/>
          <w:marBottom w:val="0"/>
          <w:divBdr>
            <w:top w:val="none" w:sz="0" w:space="0" w:color="auto"/>
            <w:left w:val="none" w:sz="0" w:space="0" w:color="auto"/>
            <w:bottom w:val="none" w:sz="0" w:space="0" w:color="auto"/>
            <w:right w:val="none" w:sz="0" w:space="0" w:color="auto"/>
          </w:divBdr>
        </w:div>
        <w:div w:id="1596478805">
          <w:marLeft w:val="0"/>
          <w:marRight w:val="0"/>
          <w:marTop w:val="0"/>
          <w:marBottom w:val="0"/>
          <w:divBdr>
            <w:top w:val="none" w:sz="0" w:space="0" w:color="auto"/>
            <w:left w:val="none" w:sz="0" w:space="0" w:color="auto"/>
            <w:bottom w:val="none" w:sz="0" w:space="0" w:color="auto"/>
            <w:right w:val="none" w:sz="0" w:space="0" w:color="auto"/>
          </w:divBdr>
        </w:div>
      </w:divsChild>
    </w:div>
    <w:div w:id="1401516013">
      <w:bodyDiv w:val="1"/>
      <w:marLeft w:val="0"/>
      <w:marRight w:val="0"/>
      <w:marTop w:val="0"/>
      <w:marBottom w:val="0"/>
      <w:divBdr>
        <w:top w:val="none" w:sz="0" w:space="0" w:color="auto"/>
        <w:left w:val="none" w:sz="0" w:space="0" w:color="auto"/>
        <w:bottom w:val="none" w:sz="0" w:space="0" w:color="auto"/>
        <w:right w:val="none" w:sz="0" w:space="0" w:color="auto"/>
      </w:divBdr>
    </w:div>
    <w:div w:id="1628463423">
      <w:bodyDiv w:val="1"/>
      <w:marLeft w:val="0"/>
      <w:marRight w:val="0"/>
      <w:marTop w:val="0"/>
      <w:marBottom w:val="0"/>
      <w:divBdr>
        <w:top w:val="none" w:sz="0" w:space="0" w:color="auto"/>
        <w:left w:val="none" w:sz="0" w:space="0" w:color="auto"/>
        <w:bottom w:val="none" w:sz="0" w:space="0" w:color="auto"/>
        <w:right w:val="none" w:sz="0" w:space="0" w:color="auto"/>
      </w:divBdr>
    </w:div>
    <w:div w:id="21378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inclair@ish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ap.ohchr.org/documents/E/HRC/resolutions/A_HRC_RES_5_1.doc" TargetMode="External"/><Relationship Id="rId1" Type="http://schemas.openxmlformats.org/officeDocument/2006/relationships/hyperlink" Target="http://www.hrcm.org.mv/Publications/otherdocuments/UPR_submission_Sept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Sinclair</dc:creator>
  <cp:keywords/>
  <dc:description/>
  <cp:lastModifiedBy>Madeleine Sinclair</cp:lastModifiedBy>
  <cp:revision>3</cp:revision>
  <dcterms:created xsi:type="dcterms:W3CDTF">2019-06-04T15:43:00Z</dcterms:created>
  <dcterms:modified xsi:type="dcterms:W3CDTF">2019-06-04T15:43:00Z</dcterms:modified>
</cp:coreProperties>
</file>