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85EB1" w:rsidRPr="00C800C8" w14:paraId="7420812D" w14:textId="77777777">
        <w:trPr>
          <w:trHeight w:val="851"/>
        </w:trPr>
        <w:tc>
          <w:tcPr>
            <w:tcW w:w="1259" w:type="dxa"/>
            <w:tcBorders>
              <w:top w:val="nil"/>
              <w:left w:val="nil"/>
              <w:bottom w:val="single" w:sz="4" w:space="0" w:color="auto"/>
              <w:right w:val="nil"/>
            </w:tcBorders>
            <w:shd w:val="clear" w:color="auto" w:fill="auto"/>
          </w:tcPr>
          <w:p w14:paraId="6E56A6EC" w14:textId="77777777" w:rsidR="00685EB1" w:rsidRPr="00CA157F" w:rsidRDefault="00685EB1" w:rsidP="00CA157F">
            <w:pPr>
              <w:spacing w:line="20" w:lineRule="exact"/>
              <w:rPr>
                <w:sz w:val="2"/>
              </w:rPr>
            </w:pPr>
            <w:bookmarkStart w:id="0" w:name="_GoBack"/>
            <w:bookmarkEnd w:id="0"/>
          </w:p>
          <w:p w14:paraId="0D4EABF1" w14:textId="77777777" w:rsidR="00CA157F" w:rsidRPr="00C800C8" w:rsidRDefault="00CA157F" w:rsidP="00685EB1">
            <w:pPr>
              <w:spacing w:after="80" w:line="340" w:lineRule="exact"/>
            </w:pPr>
          </w:p>
        </w:tc>
        <w:tc>
          <w:tcPr>
            <w:tcW w:w="2236" w:type="dxa"/>
            <w:tcBorders>
              <w:top w:val="nil"/>
              <w:left w:val="nil"/>
              <w:bottom w:val="single" w:sz="4" w:space="0" w:color="auto"/>
              <w:right w:val="nil"/>
            </w:tcBorders>
            <w:shd w:val="clear" w:color="auto" w:fill="auto"/>
            <w:vAlign w:val="bottom"/>
          </w:tcPr>
          <w:p w14:paraId="1E26E7F0" w14:textId="77777777" w:rsidR="00685EB1" w:rsidRPr="00C800C8" w:rsidRDefault="00685EB1" w:rsidP="00685EB1">
            <w:pPr>
              <w:spacing w:after="80" w:line="340" w:lineRule="exact"/>
            </w:pPr>
            <w:r w:rsidRPr="00C800C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59C9C2E" w14:textId="77777777" w:rsidR="00685EB1" w:rsidRPr="00C800C8" w:rsidRDefault="00C61F82" w:rsidP="00B44867">
            <w:pPr>
              <w:jc w:val="right"/>
            </w:pPr>
            <w:r w:rsidRPr="00C800C8">
              <w:rPr>
                <w:sz w:val="40"/>
              </w:rPr>
              <w:t>HRI</w:t>
            </w:r>
            <w:r w:rsidR="00685EB1" w:rsidRPr="00C800C8">
              <w:t>/MC/201</w:t>
            </w:r>
            <w:r w:rsidR="003A00BF" w:rsidRPr="00C800C8">
              <w:t>5</w:t>
            </w:r>
            <w:r w:rsidR="000A1785" w:rsidRPr="00C800C8">
              <w:t>/</w:t>
            </w:r>
            <w:r w:rsidR="003A2684" w:rsidRPr="00C800C8">
              <w:t>6</w:t>
            </w:r>
          </w:p>
        </w:tc>
      </w:tr>
      <w:tr w:rsidR="00685EB1" w:rsidRPr="00C800C8" w14:paraId="2BF0D60C" w14:textId="77777777">
        <w:trPr>
          <w:trHeight w:val="2835"/>
        </w:trPr>
        <w:tc>
          <w:tcPr>
            <w:tcW w:w="1259" w:type="dxa"/>
            <w:tcBorders>
              <w:top w:val="single" w:sz="4" w:space="0" w:color="auto"/>
              <w:left w:val="nil"/>
              <w:bottom w:val="single" w:sz="12" w:space="0" w:color="auto"/>
              <w:right w:val="nil"/>
            </w:tcBorders>
            <w:shd w:val="clear" w:color="auto" w:fill="auto"/>
          </w:tcPr>
          <w:p w14:paraId="1E088DD7" w14:textId="32D62598" w:rsidR="00685EB1" w:rsidRPr="00C800C8" w:rsidRDefault="00A15F29" w:rsidP="00685EB1">
            <w:pPr>
              <w:spacing w:before="120"/>
              <w:jc w:val="center"/>
            </w:pPr>
            <w:r>
              <w:rPr>
                <w:noProof/>
                <w:lang w:val="fr-CH" w:eastAsia="fr-CH"/>
              </w:rPr>
              <w:drawing>
                <wp:inline distT="0" distB="0" distL="0" distR="0" wp14:anchorId="73B61A55" wp14:editId="5E81C101">
                  <wp:extent cx="704850" cy="600075"/>
                  <wp:effectExtent l="0" t="0" r="0" b="952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9363990" w14:textId="77777777" w:rsidR="00685EB1" w:rsidRPr="00C800C8" w:rsidRDefault="00685EB1" w:rsidP="00685EB1">
            <w:pPr>
              <w:spacing w:before="120" w:line="380" w:lineRule="exact"/>
              <w:rPr>
                <w:b/>
              </w:rPr>
            </w:pPr>
            <w:r w:rsidRPr="00C800C8">
              <w:rPr>
                <w:rFonts w:ascii="Times New Roman Bold" w:hAnsi="Times New Roman Bold"/>
                <w:b/>
                <w:sz w:val="34"/>
                <w:szCs w:val="40"/>
              </w:rPr>
              <w:t>International Human Rights</w:t>
            </w:r>
            <w:r w:rsidRPr="00C800C8">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14:paraId="404B1597" w14:textId="77777777" w:rsidR="00685EB1" w:rsidRPr="00C800C8" w:rsidRDefault="00685EB1" w:rsidP="007D1A4D">
            <w:pPr>
              <w:spacing w:before="240" w:line="240" w:lineRule="exact"/>
            </w:pPr>
            <w:r w:rsidRPr="00C800C8">
              <w:t xml:space="preserve">Distr.: </w:t>
            </w:r>
            <w:r w:rsidR="00805F6D" w:rsidRPr="00C800C8">
              <w:t>General</w:t>
            </w:r>
          </w:p>
          <w:p w14:paraId="1B881840" w14:textId="77777777" w:rsidR="00685EB1" w:rsidRPr="00C800C8" w:rsidRDefault="00D45C7A" w:rsidP="00E33BFF">
            <w:pPr>
              <w:spacing w:line="240" w:lineRule="exact"/>
            </w:pPr>
            <w:r>
              <w:t>30</w:t>
            </w:r>
            <w:r w:rsidR="001E64D0" w:rsidRPr="00C800C8">
              <w:t xml:space="preserve"> </w:t>
            </w:r>
            <w:r w:rsidR="00805F6D" w:rsidRPr="00C800C8">
              <w:t>July</w:t>
            </w:r>
            <w:r w:rsidR="00B20FD8" w:rsidRPr="00C800C8">
              <w:t xml:space="preserve"> </w:t>
            </w:r>
            <w:r w:rsidR="00685EB1" w:rsidRPr="00C800C8">
              <w:t>201</w:t>
            </w:r>
            <w:r w:rsidR="003A00BF" w:rsidRPr="00C800C8">
              <w:t>5</w:t>
            </w:r>
          </w:p>
          <w:p w14:paraId="4F171349" w14:textId="77777777" w:rsidR="00685EB1" w:rsidRPr="00C800C8" w:rsidRDefault="00685EB1" w:rsidP="00685EB1">
            <w:pPr>
              <w:spacing w:line="240" w:lineRule="exact"/>
            </w:pPr>
          </w:p>
          <w:p w14:paraId="434BAEA9" w14:textId="77777777" w:rsidR="00685EB1" w:rsidRPr="00C800C8" w:rsidRDefault="00685EB1" w:rsidP="00685EB1">
            <w:pPr>
              <w:spacing w:line="240" w:lineRule="exact"/>
            </w:pPr>
            <w:r w:rsidRPr="00C800C8">
              <w:t>Original: English</w:t>
            </w:r>
          </w:p>
          <w:p w14:paraId="49786CC0" w14:textId="77777777" w:rsidR="007144F9" w:rsidRPr="00C800C8" w:rsidRDefault="007144F9" w:rsidP="003566B8">
            <w:pPr>
              <w:spacing w:line="240" w:lineRule="exact"/>
            </w:pPr>
          </w:p>
        </w:tc>
      </w:tr>
    </w:tbl>
    <w:p w14:paraId="51504B19" w14:textId="77777777" w:rsidR="00F96E74" w:rsidRDefault="00F96E74" w:rsidP="003460B4">
      <w:pPr>
        <w:spacing w:line="240" w:lineRule="auto"/>
        <w:rPr>
          <w:b/>
          <w:bCs/>
          <w:sz w:val="24"/>
          <w:szCs w:val="24"/>
        </w:rPr>
      </w:pPr>
      <w:r>
        <w:rPr>
          <w:b/>
          <w:bCs/>
          <w:sz w:val="24"/>
          <w:szCs w:val="24"/>
        </w:rPr>
        <w:t>Twenty-seventh m</w:t>
      </w:r>
      <w:r w:rsidR="003A00BF" w:rsidRPr="00C800C8">
        <w:rPr>
          <w:b/>
          <w:bCs/>
          <w:sz w:val="24"/>
          <w:szCs w:val="24"/>
        </w:rPr>
        <w:t>eeting of chairpersons</w:t>
      </w:r>
      <w:r w:rsidR="009E6AC5" w:rsidRPr="00C800C8">
        <w:rPr>
          <w:b/>
          <w:bCs/>
          <w:sz w:val="24"/>
          <w:szCs w:val="24"/>
        </w:rPr>
        <w:t xml:space="preserve"> </w:t>
      </w:r>
    </w:p>
    <w:p w14:paraId="105DD587" w14:textId="77777777" w:rsidR="003A00BF" w:rsidRPr="00C800C8" w:rsidRDefault="003A00BF" w:rsidP="00F11F3E">
      <w:pPr>
        <w:spacing w:line="240" w:lineRule="auto"/>
        <w:rPr>
          <w:b/>
          <w:bCs/>
          <w:sz w:val="24"/>
          <w:szCs w:val="24"/>
        </w:rPr>
      </w:pPr>
      <w:proofErr w:type="gramStart"/>
      <w:r w:rsidRPr="00C800C8">
        <w:rPr>
          <w:b/>
          <w:bCs/>
          <w:sz w:val="24"/>
          <w:szCs w:val="24"/>
        </w:rPr>
        <w:t>of</w:t>
      </w:r>
      <w:proofErr w:type="gramEnd"/>
      <w:r w:rsidRPr="00C800C8">
        <w:rPr>
          <w:b/>
          <w:bCs/>
          <w:sz w:val="24"/>
          <w:szCs w:val="24"/>
        </w:rPr>
        <w:t xml:space="preserve"> the human rights treaty bodies</w:t>
      </w:r>
    </w:p>
    <w:p w14:paraId="7AD54E8B" w14:textId="77777777" w:rsidR="00146BD9" w:rsidRPr="00C800C8" w:rsidRDefault="00100164" w:rsidP="0015410E">
      <w:r w:rsidRPr="00C800C8">
        <w:tab/>
      </w:r>
      <w:r w:rsidRPr="00C800C8">
        <w:tab/>
      </w:r>
    </w:p>
    <w:p w14:paraId="643314AB" w14:textId="77777777" w:rsidR="00685EB1" w:rsidRPr="00C800C8" w:rsidRDefault="00146BD9" w:rsidP="0015410E">
      <w:pPr>
        <w:pStyle w:val="HMG"/>
        <w:rPr>
          <w:lang w:val="en-GB"/>
        </w:rPr>
      </w:pPr>
      <w:r w:rsidRPr="00C800C8">
        <w:rPr>
          <w:lang w:val="en-GB"/>
        </w:rPr>
        <w:tab/>
      </w:r>
      <w:r w:rsidRPr="00C800C8">
        <w:rPr>
          <w:lang w:val="en-GB"/>
        </w:rPr>
        <w:tab/>
      </w:r>
      <w:r w:rsidR="00805F6D" w:rsidRPr="00C800C8">
        <w:rPr>
          <w:lang w:val="en-GB"/>
        </w:rPr>
        <w:t xml:space="preserve">Guidelines against </w:t>
      </w:r>
      <w:r w:rsidR="0015410E">
        <w:rPr>
          <w:lang w:val="en-GB"/>
        </w:rPr>
        <w:t>I</w:t>
      </w:r>
      <w:r w:rsidR="00805F6D" w:rsidRPr="00C800C8">
        <w:rPr>
          <w:lang w:val="en-GB"/>
        </w:rPr>
        <w:t xml:space="preserve">ntimidation or </w:t>
      </w:r>
      <w:r w:rsidR="0015410E">
        <w:rPr>
          <w:lang w:val="en-GB"/>
        </w:rPr>
        <w:t>R</w:t>
      </w:r>
      <w:r w:rsidR="00805F6D" w:rsidRPr="00C800C8">
        <w:rPr>
          <w:lang w:val="en-GB"/>
        </w:rPr>
        <w:t xml:space="preserve">eprisals </w:t>
      </w:r>
      <w:r w:rsidR="00C57516" w:rsidRPr="00C800C8">
        <w:rPr>
          <w:lang w:val="en-GB"/>
        </w:rPr>
        <w:br/>
      </w:r>
      <w:r w:rsidR="00805F6D" w:rsidRPr="00C800C8">
        <w:rPr>
          <w:lang w:val="en-GB"/>
        </w:rPr>
        <w:t>(“San José Guidelines”)</w:t>
      </w:r>
      <w:r w:rsidRPr="0015410E">
        <w:rPr>
          <w:rStyle w:val="FootnoteReference"/>
          <w:sz w:val="20"/>
          <w:vertAlign w:val="baseline"/>
          <w:lang w:val="en-GB"/>
        </w:rPr>
        <w:footnoteReference w:customMarkFollows="1" w:id="2"/>
        <w:t>*</w:t>
      </w:r>
    </w:p>
    <w:p w14:paraId="16ACCCCC" w14:textId="77777777" w:rsidR="00C715EA" w:rsidRPr="00C800C8" w:rsidRDefault="00C715EA" w:rsidP="0015410E">
      <w:pPr>
        <w:pStyle w:val="SingleTxtG"/>
        <w:ind w:left="1701"/>
        <w:rPr>
          <w:i/>
          <w:iCs/>
          <w:lang w:val="en-GB"/>
        </w:rPr>
      </w:pPr>
      <w:r w:rsidRPr="00C800C8">
        <w:rPr>
          <w:i/>
          <w:iCs/>
          <w:lang w:val="en-GB"/>
        </w:rPr>
        <w:t>The Chairs of the human rights treaty bodies,</w:t>
      </w:r>
    </w:p>
    <w:p w14:paraId="7E397E6E" w14:textId="77777777" w:rsidR="00C715EA" w:rsidRPr="00C800C8" w:rsidRDefault="00C715EA" w:rsidP="000E47F7">
      <w:pPr>
        <w:pStyle w:val="SingleTxtG"/>
        <w:ind w:firstLine="567"/>
        <w:rPr>
          <w:lang w:val="en-GB"/>
        </w:rPr>
      </w:pPr>
      <w:r w:rsidRPr="00C800C8">
        <w:rPr>
          <w:i/>
          <w:lang w:val="en-GB"/>
        </w:rPr>
        <w:t xml:space="preserve">Reaffirming </w:t>
      </w:r>
      <w:r w:rsidRPr="00C800C8">
        <w:rPr>
          <w:lang w:val="en-GB"/>
        </w:rPr>
        <w:t xml:space="preserve">that the universal human rights treaties are a central pillar of the international system for the promotion and protection of human rights and that the free engagement of individuals and groups with the treaty bodies is critical to </w:t>
      </w:r>
      <w:r w:rsidR="000E47F7">
        <w:rPr>
          <w:lang w:val="en-GB"/>
        </w:rPr>
        <w:t>their</w:t>
      </w:r>
      <w:r w:rsidRPr="00812390">
        <w:rPr>
          <w:lang w:val="en-GB"/>
        </w:rPr>
        <w:t xml:space="preserve"> efficiency</w:t>
      </w:r>
      <w:r w:rsidRPr="00C800C8">
        <w:rPr>
          <w:lang w:val="en-GB"/>
        </w:rPr>
        <w:t xml:space="preserve"> and effectiveness,</w:t>
      </w:r>
    </w:p>
    <w:p w14:paraId="7EB4375F" w14:textId="77777777" w:rsidR="00C715EA" w:rsidRPr="00C800C8" w:rsidRDefault="00C715EA" w:rsidP="00C715EA">
      <w:pPr>
        <w:pStyle w:val="SingleTxtG"/>
        <w:rPr>
          <w:lang w:val="en-GB"/>
        </w:rPr>
      </w:pPr>
      <w:r w:rsidRPr="00C800C8">
        <w:rPr>
          <w:i/>
          <w:lang w:val="en-GB"/>
        </w:rPr>
        <w:tab/>
        <w:t xml:space="preserve">Expressing </w:t>
      </w:r>
      <w:r w:rsidRPr="00C800C8">
        <w:rPr>
          <w:i/>
          <w:iCs/>
          <w:lang w:val="en-GB"/>
        </w:rPr>
        <w:t>concern</w:t>
      </w:r>
      <w:r w:rsidRPr="00C800C8">
        <w:rPr>
          <w:lang w:val="en-GB"/>
        </w:rPr>
        <w:t xml:space="preserve"> over allegations received by the treaty bodies of intimidation and reprisals against individuals and groups who seek to cooperate, are cooperating or have cooperated with the treaty bodies,</w:t>
      </w:r>
    </w:p>
    <w:p w14:paraId="62BD29A0" w14:textId="77777777" w:rsidR="00C715EA" w:rsidRPr="00C800C8" w:rsidRDefault="00C715EA" w:rsidP="00C715EA">
      <w:pPr>
        <w:pStyle w:val="SingleTxtG"/>
        <w:rPr>
          <w:lang w:val="en-GB"/>
        </w:rPr>
      </w:pPr>
      <w:r w:rsidRPr="00C800C8">
        <w:rPr>
          <w:lang w:val="en-GB"/>
        </w:rPr>
        <w:tab/>
      </w:r>
      <w:r w:rsidRPr="00C800C8">
        <w:rPr>
          <w:i/>
          <w:lang w:val="en-GB"/>
        </w:rPr>
        <w:t>Recalling</w:t>
      </w:r>
      <w:r w:rsidRPr="00C800C8">
        <w:rPr>
          <w:lang w:val="en-GB"/>
        </w:rPr>
        <w:t xml:space="preserve"> relevant provisions in international human rights treaties, optional protocols</w:t>
      </w:r>
      <w:r w:rsidRPr="00C800C8">
        <w:rPr>
          <w:rStyle w:val="FootnoteReference"/>
          <w:lang w:val="en-GB"/>
        </w:rPr>
        <w:footnoteReference w:id="3"/>
      </w:r>
      <w:r w:rsidRPr="00C800C8">
        <w:rPr>
          <w:lang w:val="en-GB"/>
        </w:rPr>
        <w:t xml:space="preserve"> and rules of procedure,</w:t>
      </w:r>
      <w:r w:rsidRPr="00C800C8">
        <w:rPr>
          <w:rStyle w:val="FootnoteReference"/>
          <w:lang w:val="en-GB"/>
        </w:rPr>
        <w:footnoteReference w:id="4"/>
      </w:r>
    </w:p>
    <w:p w14:paraId="0DF2D18B" w14:textId="77777777" w:rsidR="00C715EA" w:rsidRPr="00C800C8" w:rsidRDefault="00C715EA" w:rsidP="00C715EA">
      <w:pPr>
        <w:pStyle w:val="SingleTxtG"/>
        <w:rPr>
          <w:lang w:val="en-GB"/>
        </w:rPr>
      </w:pPr>
      <w:r w:rsidRPr="00C800C8">
        <w:rPr>
          <w:i/>
          <w:lang w:val="en-GB"/>
        </w:rPr>
        <w:tab/>
        <w:t xml:space="preserve">Recalling also </w:t>
      </w:r>
      <w:r w:rsidRPr="00C800C8">
        <w:rPr>
          <w:lang w:val="en-GB"/>
        </w:rPr>
        <w:t>the Declaration on the Right and Responsibility of Individuals, Groups and Organs of Society to Promote and Protect Universally Recognized Human Rights and Fundamental Freedoms,</w:t>
      </w:r>
      <w:r w:rsidRPr="00C800C8">
        <w:rPr>
          <w:rStyle w:val="FootnoteReference"/>
          <w:lang w:val="en-GB"/>
        </w:rPr>
        <w:footnoteReference w:id="5"/>
      </w:r>
      <w:r w:rsidRPr="00C800C8">
        <w:rPr>
          <w:lang w:val="en-GB"/>
        </w:rPr>
        <w:t xml:space="preserve"> </w:t>
      </w:r>
    </w:p>
    <w:p w14:paraId="375D82FC" w14:textId="77777777" w:rsidR="00C715EA" w:rsidRPr="00C800C8" w:rsidRDefault="00C715EA" w:rsidP="00812390">
      <w:pPr>
        <w:pStyle w:val="SingleTxtG"/>
        <w:rPr>
          <w:lang w:val="en-GB"/>
        </w:rPr>
      </w:pPr>
      <w:r w:rsidRPr="00C800C8">
        <w:rPr>
          <w:lang w:val="en-GB"/>
        </w:rPr>
        <w:tab/>
      </w:r>
      <w:r w:rsidRPr="00C800C8">
        <w:rPr>
          <w:i/>
          <w:lang w:val="en-GB"/>
        </w:rPr>
        <w:t xml:space="preserve">Welcoming </w:t>
      </w:r>
      <w:r w:rsidRPr="00812390">
        <w:rPr>
          <w:lang w:val="en-GB"/>
        </w:rPr>
        <w:t>the annual</w:t>
      </w:r>
      <w:r w:rsidRPr="00C800C8">
        <w:rPr>
          <w:lang w:val="en-GB"/>
        </w:rPr>
        <w:t xml:space="preserve"> report of the Secretary-General on cooperation with the United Nations, its representatives and mechanisms in the field of human rights,</w:t>
      </w:r>
      <w:r w:rsidRPr="00C800C8">
        <w:rPr>
          <w:rStyle w:val="FootnoteReference"/>
          <w:lang w:val="en-GB"/>
        </w:rPr>
        <w:footnoteReference w:id="6"/>
      </w:r>
      <w:r w:rsidRPr="00C800C8">
        <w:rPr>
          <w:lang w:val="en-GB"/>
        </w:rPr>
        <w:t xml:space="preserve"> which includes information on cases of intimidation and reprisals against individuals or groups </w:t>
      </w:r>
      <w:proofErr w:type="gramStart"/>
      <w:r w:rsidRPr="00C800C8">
        <w:rPr>
          <w:lang w:val="en-GB"/>
        </w:rPr>
        <w:lastRenderedPageBreak/>
        <w:t>who</w:t>
      </w:r>
      <w:proofErr w:type="gramEnd"/>
      <w:r w:rsidRPr="00C800C8">
        <w:rPr>
          <w:lang w:val="en-GB"/>
        </w:rPr>
        <w:t xml:space="preserve"> seek to cooperate or have cooperated with the United Nations, its representatives and mechanisms in the field of human rights,</w:t>
      </w:r>
    </w:p>
    <w:p w14:paraId="1976CDF3" w14:textId="77777777" w:rsidR="00C715EA" w:rsidRPr="00C800C8" w:rsidRDefault="00C715EA" w:rsidP="00C715EA">
      <w:pPr>
        <w:pStyle w:val="SingleTxtG"/>
        <w:rPr>
          <w:lang w:val="en-GB"/>
        </w:rPr>
      </w:pPr>
      <w:r w:rsidRPr="00C800C8">
        <w:rPr>
          <w:lang w:val="en-GB"/>
        </w:rPr>
        <w:tab/>
      </w:r>
      <w:r w:rsidRPr="00C800C8">
        <w:rPr>
          <w:i/>
          <w:lang w:val="en-GB"/>
        </w:rPr>
        <w:t>Recalling</w:t>
      </w:r>
      <w:r w:rsidRPr="00C800C8">
        <w:rPr>
          <w:lang w:val="en-GB"/>
        </w:rPr>
        <w:t xml:space="preserve"> their decision to develop a policy on reprisals at their twenty-seventh meeting,</w:t>
      </w:r>
      <w:r w:rsidRPr="00C800C8">
        <w:rPr>
          <w:rStyle w:val="FootnoteReference"/>
          <w:lang w:val="en-GB"/>
        </w:rPr>
        <w:footnoteReference w:id="7"/>
      </w:r>
    </w:p>
    <w:p w14:paraId="7DC792EE" w14:textId="77777777" w:rsidR="00C715EA" w:rsidRPr="00C800C8" w:rsidRDefault="00C715EA" w:rsidP="0037148A">
      <w:pPr>
        <w:pStyle w:val="SingleTxtG"/>
        <w:rPr>
          <w:lang w:val="en-GB"/>
        </w:rPr>
      </w:pPr>
      <w:r w:rsidRPr="00C800C8">
        <w:rPr>
          <w:lang w:val="en-GB"/>
        </w:rPr>
        <w:tab/>
      </w:r>
      <w:r w:rsidRPr="00C800C8">
        <w:rPr>
          <w:i/>
          <w:lang w:val="en-GB"/>
        </w:rPr>
        <w:t>Stressing</w:t>
      </w:r>
      <w:r w:rsidRPr="00C800C8">
        <w:rPr>
          <w:lang w:val="en-GB"/>
        </w:rPr>
        <w:t xml:space="preserve"> their common will, expressed at their twenty-seventh meeting, </w:t>
      </w:r>
      <w:r w:rsidR="00596709">
        <w:rPr>
          <w:lang w:val="en-GB"/>
        </w:rPr>
        <w:t>held</w:t>
      </w:r>
      <w:r w:rsidRPr="00C800C8">
        <w:rPr>
          <w:lang w:val="en-GB"/>
        </w:rPr>
        <w:t xml:space="preserve"> in San José from 22 to 26 June 2015, to reinforce procedures related to intimidation or reprisals,</w:t>
      </w:r>
    </w:p>
    <w:p w14:paraId="6C5CA261" w14:textId="77777777" w:rsidR="00C715EA" w:rsidRPr="00C800C8" w:rsidRDefault="00C715EA" w:rsidP="00C715EA">
      <w:pPr>
        <w:pStyle w:val="SingleTxtG"/>
        <w:rPr>
          <w:lang w:val="en-GB"/>
        </w:rPr>
      </w:pPr>
      <w:r w:rsidRPr="00C800C8">
        <w:rPr>
          <w:lang w:val="en-GB"/>
        </w:rPr>
        <w:tab/>
      </w:r>
      <w:r w:rsidRPr="00C800C8">
        <w:rPr>
          <w:i/>
          <w:lang w:val="en-GB"/>
        </w:rPr>
        <w:t>Noting with appreciation</w:t>
      </w:r>
      <w:r w:rsidRPr="00C800C8">
        <w:rPr>
          <w:lang w:val="en-GB"/>
        </w:rPr>
        <w:t xml:space="preserve"> that the General Assembly, in its resolution 68/268 of 9</w:t>
      </w:r>
      <w:r w:rsidR="00234653" w:rsidRPr="00C800C8">
        <w:rPr>
          <w:lang w:val="en-GB"/>
        </w:rPr>
        <w:t> </w:t>
      </w:r>
      <w:r w:rsidRPr="00C800C8">
        <w:rPr>
          <w:lang w:val="en-GB"/>
        </w:rPr>
        <w:t>April 2014, strongly condemned all acts of intimidation and reprisals against individuals and groups for their contribution to the work of the human rights treaty bodies</w:t>
      </w:r>
      <w:r w:rsidR="00596709">
        <w:rPr>
          <w:lang w:val="en-GB"/>
        </w:rPr>
        <w:t>,</w:t>
      </w:r>
      <w:r w:rsidRPr="00C800C8">
        <w:rPr>
          <w:lang w:val="en-GB"/>
        </w:rPr>
        <w:t xml:space="preserve"> and urged States to take all appropriate action to prevent and eliminate such human rights violations,</w:t>
      </w:r>
    </w:p>
    <w:p w14:paraId="38CE4F10" w14:textId="77777777" w:rsidR="00C715EA" w:rsidRPr="00C800C8" w:rsidRDefault="00C715EA" w:rsidP="0037148A">
      <w:pPr>
        <w:pStyle w:val="SingleTxtG"/>
        <w:rPr>
          <w:i/>
          <w:lang w:val="en-GB"/>
        </w:rPr>
      </w:pPr>
      <w:r w:rsidRPr="00C800C8">
        <w:rPr>
          <w:lang w:val="en-GB"/>
        </w:rPr>
        <w:tab/>
      </w:r>
      <w:r w:rsidRPr="00C800C8">
        <w:rPr>
          <w:i/>
          <w:lang w:val="en-GB"/>
        </w:rPr>
        <w:t xml:space="preserve">Welcoming </w:t>
      </w:r>
      <w:r w:rsidRPr="00C800C8">
        <w:rPr>
          <w:lang w:val="en-GB"/>
        </w:rPr>
        <w:t xml:space="preserve">the encouragement given by the </w:t>
      </w:r>
      <w:r w:rsidRPr="00C800C8">
        <w:rPr>
          <w:bCs/>
          <w:lang w:val="en-GB"/>
        </w:rPr>
        <w:t>General Assembly to the treaty bodies to continue to enhance the role of their Chairs, including with respect to formulating conclusions on issues related to working methods and procedural matters, promptly generalizing good practices and methodologies among all treaty bodies, ensuring coherence across the treaty bodies and standardizing working methods,</w:t>
      </w:r>
      <w:r w:rsidRPr="00C800C8">
        <w:rPr>
          <w:rStyle w:val="FootnoteReference"/>
          <w:bCs/>
          <w:lang w:val="en-GB"/>
        </w:rPr>
        <w:footnoteReference w:id="8"/>
      </w:r>
      <w:r w:rsidRPr="00C800C8">
        <w:rPr>
          <w:i/>
          <w:lang w:val="en-GB"/>
        </w:rPr>
        <w:t xml:space="preserve"> </w:t>
      </w:r>
    </w:p>
    <w:p w14:paraId="5DBBDAF9" w14:textId="77777777" w:rsidR="00C715EA" w:rsidRPr="00C800C8" w:rsidRDefault="00C715EA" w:rsidP="00C715EA">
      <w:pPr>
        <w:pStyle w:val="SingleTxtG"/>
        <w:rPr>
          <w:lang w:val="en-GB"/>
        </w:rPr>
      </w:pPr>
      <w:r w:rsidRPr="00C800C8">
        <w:rPr>
          <w:i/>
          <w:lang w:val="en-GB"/>
        </w:rPr>
        <w:tab/>
        <w:t xml:space="preserve">Recalling </w:t>
      </w:r>
      <w:r w:rsidRPr="00C800C8">
        <w:rPr>
          <w:lang w:val="en-GB"/>
        </w:rPr>
        <w:t>their decision</w:t>
      </w:r>
      <w:r w:rsidR="00C3397A">
        <w:rPr>
          <w:lang w:val="en-GB"/>
        </w:rPr>
        <w:t>s</w:t>
      </w:r>
      <w:r w:rsidRPr="00C800C8">
        <w:rPr>
          <w:lang w:val="en-GB"/>
        </w:rPr>
        <w:t xml:space="preserve"> to include reprisals as a standing item on the agenda of their annual meetings and to engage with other bodies working to protect individuals and groups from reprisals,</w:t>
      </w:r>
      <w:r w:rsidRPr="00C800C8">
        <w:rPr>
          <w:rStyle w:val="FootnoteReference"/>
          <w:lang w:val="en-GB"/>
        </w:rPr>
        <w:footnoteReference w:id="9"/>
      </w:r>
    </w:p>
    <w:p w14:paraId="0ACC6B36" w14:textId="77777777" w:rsidR="00C715EA" w:rsidRPr="00C800C8" w:rsidRDefault="00C715EA" w:rsidP="000E47F7">
      <w:pPr>
        <w:pStyle w:val="SingleTxt"/>
      </w:pPr>
      <w:r w:rsidRPr="00C800C8">
        <w:rPr>
          <w:i/>
        </w:rPr>
        <w:tab/>
        <w:t xml:space="preserve">Welcoming </w:t>
      </w:r>
      <w:r w:rsidRPr="00C800C8">
        <w:t>the appointment by m</w:t>
      </w:r>
      <w:r w:rsidR="000E47F7">
        <w:t>ost</w:t>
      </w:r>
      <w:r w:rsidRPr="00C800C8">
        <w:t xml:space="preserve"> </w:t>
      </w:r>
      <w:r w:rsidR="000E47F7">
        <w:t xml:space="preserve">of the </w:t>
      </w:r>
      <w:r w:rsidRPr="00C800C8">
        <w:t>treaty bodies of one or more rapporteurs or a focal point on reprisals,</w:t>
      </w:r>
      <w:r w:rsidRPr="00C800C8">
        <w:rPr>
          <w:rStyle w:val="FootnoteReference"/>
          <w:lang w:val="en-GB"/>
        </w:rPr>
        <w:footnoteReference w:id="10"/>
      </w:r>
    </w:p>
    <w:p w14:paraId="5F39A78B" w14:textId="77777777" w:rsidR="00C715EA" w:rsidRPr="00C800C8" w:rsidRDefault="00C715EA" w:rsidP="00C715EA">
      <w:pPr>
        <w:pStyle w:val="SingleTxtG"/>
        <w:rPr>
          <w:lang w:val="en-GB"/>
        </w:rPr>
      </w:pPr>
      <w:r w:rsidRPr="00C800C8">
        <w:rPr>
          <w:i/>
          <w:lang w:val="en-GB"/>
        </w:rPr>
        <w:tab/>
        <w:t xml:space="preserve">Underlining </w:t>
      </w:r>
      <w:r w:rsidRPr="00C800C8">
        <w:rPr>
          <w:lang w:val="en-GB"/>
        </w:rPr>
        <w:t xml:space="preserve">the need to enhance protection and bring coherence to treaty body responses to individuals and groups at risk of or targeted by intimidation </w:t>
      </w:r>
      <w:r w:rsidR="002C50DB">
        <w:rPr>
          <w:lang w:val="en-GB"/>
        </w:rPr>
        <w:t xml:space="preserve">or </w:t>
      </w:r>
      <w:r w:rsidRPr="00C800C8">
        <w:rPr>
          <w:lang w:val="en-GB"/>
        </w:rPr>
        <w:t>reprisals,</w:t>
      </w:r>
    </w:p>
    <w:p w14:paraId="41DD70CA" w14:textId="77777777" w:rsidR="00C715EA" w:rsidRPr="00C800C8" w:rsidRDefault="00C715EA" w:rsidP="00C715EA">
      <w:pPr>
        <w:pStyle w:val="SingleTxtG"/>
        <w:rPr>
          <w:lang w:val="en-GB"/>
        </w:rPr>
      </w:pPr>
      <w:r w:rsidRPr="00C800C8">
        <w:rPr>
          <w:i/>
          <w:lang w:val="en-GB"/>
        </w:rPr>
        <w:tab/>
        <w:t>Recalling</w:t>
      </w:r>
      <w:r w:rsidRPr="00C800C8">
        <w:rPr>
          <w:lang w:val="en-GB"/>
        </w:rPr>
        <w:t xml:space="preserve"> the competence of each treaty body to adopt its own rules of procedure, </w:t>
      </w:r>
    </w:p>
    <w:p w14:paraId="673CC16F" w14:textId="77777777" w:rsidR="00C715EA" w:rsidRPr="00C800C8" w:rsidRDefault="00C715EA" w:rsidP="00C250FA">
      <w:pPr>
        <w:pStyle w:val="SingleTxtG"/>
        <w:rPr>
          <w:lang w:val="en-GB"/>
        </w:rPr>
      </w:pPr>
      <w:r w:rsidRPr="00C800C8">
        <w:rPr>
          <w:lang w:val="en-GB"/>
        </w:rPr>
        <w:tab/>
      </w:r>
      <w:r w:rsidRPr="00C800C8">
        <w:rPr>
          <w:i/>
          <w:iCs/>
          <w:lang w:val="en-GB"/>
        </w:rPr>
        <w:t>Endorse</w:t>
      </w:r>
      <w:r w:rsidRPr="00C800C8">
        <w:rPr>
          <w:lang w:val="en-GB"/>
        </w:rPr>
        <w:t xml:space="preserve"> the </w:t>
      </w:r>
      <w:r w:rsidR="00C250FA">
        <w:rPr>
          <w:lang w:val="en-GB"/>
        </w:rPr>
        <w:t>G</w:t>
      </w:r>
      <w:r w:rsidRPr="00C800C8">
        <w:rPr>
          <w:lang w:val="en-GB"/>
        </w:rPr>
        <w:t xml:space="preserve">uidelines against </w:t>
      </w:r>
      <w:r w:rsidR="00C250FA">
        <w:rPr>
          <w:lang w:val="en-GB"/>
        </w:rPr>
        <w:t>I</w:t>
      </w:r>
      <w:r w:rsidRPr="00C800C8">
        <w:rPr>
          <w:lang w:val="en-GB"/>
        </w:rPr>
        <w:t xml:space="preserve">ntimidation or </w:t>
      </w:r>
      <w:r w:rsidR="00C250FA">
        <w:rPr>
          <w:lang w:val="en-GB"/>
        </w:rPr>
        <w:t>R</w:t>
      </w:r>
      <w:r w:rsidRPr="00C800C8">
        <w:rPr>
          <w:lang w:val="en-GB"/>
        </w:rPr>
        <w:t>eprisals</w:t>
      </w:r>
      <w:r w:rsidR="00126DC6">
        <w:rPr>
          <w:lang w:val="en-GB"/>
        </w:rPr>
        <w:t>.</w:t>
      </w:r>
    </w:p>
    <w:p w14:paraId="20D5A72D" w14:textId="77777777" w:rsidR="00C715EA" w:rsidRPr="00C800C8" w:rsidRDefault="00C715EA" w:rsidP="00C715EA">
      <w:pPr>
        <w:pStyle w:val="HChG"/>
        <w:rPr>
          <w:lang w:val="en-GB"/>
        </w:rPr>
      </w:pPr>
      <w:r w:rsidRPr="00C800C8">
        <w:rPr>
          <w:lang w:val="en-GB"/>
        </w:rPr>
        <w:tab/>
        <w:t>I.</w:t>
      </w:r>
      <w:r w:rsidRPr="00C800C8">
        <w:rPr>
          <w:lang w:val="en-GB"/>
        </w:rPr>
        <w:tab/>
        <w:t xml:space="preserve">Purpose and scope </w:t>
      </w:r>
    </w:p>
    <w:p w14:paraId="3F7B39BF" w14:textId="77777777" w:rsidR="00C715EA" w:rsidRPr="00C800C8" w:rsidRDefault="00AC3094" w:rsidP="00AC3094">
      <w:pPr>
        <w:pStyle w:val="SingleTxtG"/>
        <w:rPr>
          <w:lang w:val="en-GB"/>
        </w:rPr>
      </w:pPr>
      <w:r w:rsidRPr="00C800C8">
        <w:rPr>
          <w:lang w:val="en-GB"/>
        </w:rPr>
        <w:t>1.</w:t>
      </w:r>
      <w:r w:rsidRPr="00C800C8">
        <w:rPr>
          <w:lang w:val="en-GB"/>
        </w:rPr>
        <w:tab/>
      </w:r>
      <w:r w:rsidR="00C715EA" w:rsidRPr="00C800C8">
        <w:rPr>
          <w:lang w:val="en-GB"/>
        </w:rPr>
        <w:t xml:space="preserve">The present </w:t>
      </w:r>
      <w:r w:rsidR="00F11F3E">
        <w:rPr>
          <w:lang w:val="en-GB"/>
        </w:rPr>
        <w:t>G</w:t>
      </w:r>
      <w:r w:rsidR="00C715EA" w:rsidRPr="00C800C8">
        <w:rPr>
          <w:lang w:val="en-GB"/>
        </w:rPr>
        <w:t xml:space="preserve">uidelines are aimed at providing practical guidance to enhance the efficiency and effectiveness </w:t>
      </w:r>
      <w:r w:rsidR="007557F3">
        <w:rPr>
          <w:lang w:val="en-GB"/>
        </w:rPr>
        <w:t>with which</w:t>
      </w:r>
      <w:r w:rsidR="00C715EA" w:rsidRPr="00C800C8">
        <w:rPr>
          <w:lang w:val="en-GB"/>
        </w:rPr>
        <w:t xml:space="preserve"> protection </w:t>
      </w:r>
      <w:r w:rsidR="007557F3">
        <w:rPr>
          <w:lang w:val="en-GB"/>
        </w:rPr>
        <w:t xml:space="preserve">is </w:t>
      </w:r>
      <w:r w:rsidR="00C715EA" w:rsidRPr="00C800C8">
        <w:rPr>
          <w:lang w:val="en-GB"/>
        </w:rPr>
        <w:t>provided by treaty bodies to individuals and groups at risk of or facing intimidation or reprisals for seeking to cooperate or cooperating with United Nations human rights treaty bodies.</w:t>
      </w:r>
    </w:p>
    <w:p w14:paraId="75632A67" w14:textId="77777777" w:rsidR="00C715EA" w:rsidRPr="00C800C8" w:rsidRDefault="00AC3094" w:rsidP="00AC3094">
      <w:pPr>
        <w:pStyle w:val="SingleTxtG"/>
        <w:rPr>
          <w:lang w:val="en-GB"/>
        </w:rPr>
      </w:pPr>
      <w:r w:rsidRPr="00C800C8">
        <w:rPr>
          <w:lang w:val="en-GB"/>
        </w:rPr>
        <w:t>2.</w:t>
      </w:r>
      <w:r w:rsidRPr="00C800C8">
        <w:rPr>
          <w:lang w:val="en-GB"/>
        </w:rPr>
        <w:tab/>
      </w:r>
      <w:r w:rsidR="00C715EA" w:rsidRPr="00C800C8">
        <w:rPr>
          <w:lang w:val="en-GB"/>
        </w:rPr>
        <w:t>The treaty bodies strongly condemn such acts of intimidation or reprisals. B</w:t>
      </w:r>
      <w:r w:rsidR="00C715EA" w:rsidRPr="00C800C8">
        <w:rPr>
          <w:lang w:val="en-GB" w:eastAsia="en-GB"/>
        </w:rPr>
        <w:t xml:space="preserve">y becoming party to an international human rights </w:t>
      </w:r>
      <w:r w:rsidR="00C715EA" w:rsidRPr="00C800C8">
        <w:rPr>
          <w:lang w:val="en-GB"/>
        </w:rPr>
        <w:t>treaty</w:t>
      </w:r>
      <w:r w:rsidR="00C715EA" w:rsidRPr="00C800C8">
        <w:rPr>
          <w:lang w:val="en-GB" w:eastAsia="en-GB"/>
        </w:rPr>
        <w:t>, a State undertakes to cooperate with the treaty body in good faith and to exercise due diligence in doing so.</w:t>
      </w:r>
      <w:r w:rsidR="00C715EA" w:rsidRPr="00C800C8" w:rsidDel="00AC44E0">
        <w:rPr>
          <w:lang w:val="en-GB"/>
        </w:rPr>
        <w:t xml:space="preserve"> </w:t>
      </w:r>
    </w:p>
    <w:p w14:paraId="785E9F56" w14:textId="77777777" w:rsidR="00C715EA" w:rsidRPr="00C800C8" w:rsidRDefault="00AC3094" w:rsidP="00AC3094">
      <w:pPr>
        <w:pStyle w:val="SingleTxtG"/>
        <w:rPr>
          <w:lang w:val="en-GB"/>
        </w:rPr>
      </w:pPr>
      <w:r w:rsidRPr="00C800C8">
        <w:rPr>
          <w:lang w:val="en-GB"/>
        </w:rPr>
        <w:t>3.</w:t>
      </w:r>
      <w:r w:rsidRPr="00C800C8">
        <w:rPr>
          <w:lang w:val="en-GB"/>
        </w:rPr>
        <w:tab/>
      </w:r>
      <w:r w:rsidR="00C715EA" w:rsidRPr="00C800C8">
        <w:rPr>
          <w:lang w:val="en-GB"/>
        </w:rPr>
        <w:t>States have a duty to protect individuals and groups and to exercise due diligence in doing so. Intimidation or reprisals may be the result of acts or omission by both State and non-</w:t>
      </w:r>
      <w:r w:rsidR="00DB31F7">
        <w:rPr>
          <w:lang w:val="en-GB"/>
        </w:rPr>
        <w:t>S</w:t>
      </w:r>
      <w:r w:rsidR="00C715EA" w:rsidRPr="00C800C8">
        <w:rPr>
          <w:lang w:val="en-GB"/>
        </w:rPr>
        <w:t>tate actors and all such acts fall within the scope of these Guidelines. Acts or omissions are attributable to the State when they are carried out with the consent or acquiescence of an official or other person acting in an official capacity against any individuals or groups who are seeking to cooperate, who are cooperating or who have cooperated with a treaty body.</w:t>
      </w:r>
    </w:p>
    <w:p w14:paraId="61139210" w14:textId="77777777" w:rsidR="00C715EA" w:rsidRPr="00C800C8" w:rsidRDefault="00AC3094" w:rsidP="00AC3094">
      <w:pPr>
        <w:pStyle w:val="SingleTxtG"/>
        <w:rPr>
          <w:lang w:val="en-GB"/>
        </w:rPr>
      </w:pPr>
      <w:r w:rsidRPr="00C800C8">
        <w:rPr>
          <w:lang w:val="en-GB"/>
        </w:rPr>
        <w:lastRenderedPageBreak/>
        <w:t>4.</w:t>
      </w:r>
      <w:r w:rsidRPr="00C800C8">
        <w:rPr>
          <w:lang w:val="en-GB"/>
        </w:rPr>
        <w:tab/>
      </w:r>
      <w:r w:rsidR="00C715EA" w:rsidRPr="00C800C8">
        <w:rPr>
          <w:lang w:val="en-GB"/>
        </w:rPr>
        <w:t xml:space="preserve">The Guidelines are formulated as a common basic approach </w:t>
      </w:r>
      <w:r w:rsidR="00126DC6">
        <w:rPr>
          <w:lang w:val="en-GB"/>
        </w:rPr>
        <w:t>that</w:t>
      </w:r>
      <w:r w:rsidR="00C715EA" w:rsidRPr="00C800C8">
        <w:rPr>
          <w:lang w:val="en-GB"/>
        </w:rPr>
        <w:t xml:space="preserve"> may be adapted and developed further by each treaty body in order to best reflect its particular context, mandate and experience in order to fully reali</w:t>
      </w:r>
      <w:r w:rsidR="00DB31F7">
        <w:rPr>
          <w:lang w:val="en-GB"/>
        </w:rPr>
        <w:t>z</w:t>
      </w:r>
      <w:r w:rsidR="00C715EA" w:rsidRPr="00C800C8">
        <w:rPr>
          <w:lang w:val="en-GB"/>
        </w:rPr>
        <w:t xml:space="preserve">e the purposes of these Guidelines. </w:t>
      </w:r>
    </w:p>
    <w:p w14:paraId="46D75856" w14:textId="77777777" w:rsidR="00C715EA" w:rsidRPr="00C800C8" w:rsidRDefault="00C715EA" w:rsidP="00C715EA">
      <w:pPr>
        <w:pStyle w:val="HChG"/>
        <w:rPr>
          <w:lang w:val="en-GB"/>
        </w:rPr>
      </w:pPr>
      <w:r w:rsidRPr="00C800C8">
        <w:rPr>
          <w:lang w:val="en-GB"/>
        </w:rPr>
        <w:tab/>
        <w:t>II.</w:t>
      </w:r>
      <w:r w:rsidRPr="00C800C8">
        <w:rPr>
          <w:lang w:val="en-GB"/>
        </w:rPr>
        <w:tab/>
        <w:t>General principles</w:t>
      </w:r>
    </w:p>
    <w:p w14:paraId="4E64C3FE" w14:textId="77777777" w:rsidR="00C715EA" w:rsidRPr="00C800C8" w:rsidRDefault="00AC3094" w:rsidP="00AC3094">
      <w:pPr>
        <w:pStyle w:val="SingleTxtG"/>
        <w:rPr>
          <w:lang w:val="en-GB"/>
        </w:rPr>
      </w:pPr>
      <w:r w:rsidRPr="00C800C8">
        <w:rPr>
          <w:lang w:val="en-GB"/>
        </w:rPr>
        <w:t>5.</w:t>
      </w:r>
      <w:r w:rsidRPr="00C800C8">
        <w:rPr>
          <w:lang w:val="en-GB"/>
        </w:rPr>
        <w:tab/>
      </w:r>
      <w:r w:rsidR="00C715EA" w:rsidRPr="00C800C8">
        <w:rPr>
          <w:lang w:val="en-GB"/>
        </w:rPr>
        <w:t xml:space="preserve">The principles underlying the present </w:t>
      </w:r>
      <w:r w:rsidR="00F11F3E">
        <w:rPr>
          <w:lang w:val="en-GB"/>
        </w:rPr>
        <w:t>G</w:t>
      </w:r>
      <w:r w:rsidR="00C715EA" w:rsidRPr="00C800C8">
        <w:rPr>
          <w:lang w:val="en-GB"/>
        </w:rPr>
        <w:t>uidelines are the following:</w:t>
      </w:r>
    </w:p>
    <w:p w14:paraId="0ABFBE92" w14:textId="77777777" w:rsidR="00C715EA" w:rsidRPr="00C800C8" w:rsidRDefault="00C715EA" w:rsidP="00C715EA">
      <w:pPr>
        <w:pStyle w:val="SingleTxtG"/>
        <w:ind w:firstLine="567"/>
        <w:rPr>
          <w:lang w:val="en-GB"/>
        </w:rPr>
      </w:pPr>
      <w:r w:rsidRPr="00C800C8">
        <w:rPr>
          <w:lang w:val="en-GB"/>
        </w:rPr>
        <w:t>(a)</w:t>
      </w:r>
      <w:r w:rsidRPr="00C800C8">
        <w:rPr>
          <w:lang w:val="en-GB"/>
        </w:rPr>
        <w:tab/>
        <w:t xml:space="preserve">The right for everyone to have unhindered access to and to communicate with the treaty bodies and their members for the effective implementation of the treaty body mandates; </w:t>
      </w:r>
    </w:p>
    <w:p w14:paraId="78FE8B9A" w14:textId="77777777" w:rsidR="00C715EA" w:rsidRPr="00C800C8" w:rsidRDefault="00C715EA" w:rsidP="00C715EA">
      <w:pPr>
        <w:pStyle w:val="SingleTxtG"/>
        <w:ind w:firstLine="567"/>
        <w:rPr>
          <w:lang w:val="en-GB"/>
        </w:rPr>
      </w:pPr>
      <w:r w:rsidRPr="00C800C8">
        <w:rPr>
          <w:lang w:val="en-GB"/>
        </w:rPr>
        <w:t>(b)</w:t>
      </w:r>
      <w:r w:rsidRPr="00C800C8">
        <w:rPr>
          <w:lang w:val="en-GB"/>
        </w:rPr>
        <w:tab/>
        <w:t>The freedom for everyone from any form of intimidation or reprisals, or fear of intimidation or reprisals, when seeking to cooperate or cooperating with the treaty bodies;</w:t>
      </w:r>
      <w:r w:rsidRPr="00C800C8" w:rsidDel="00F75235">
        <w:rPr>
          <w:lang w:val="en-GB"/>
        </w:rPr>
        <w:t xml:space="preserve"> </w:t>
      </w:r>
    </w:p>
    <w:p w14:paraId="583E855C" w14:textId="77777777" w:rsidR="00C715EA" w:rsidRPr="00C800C8" w:rsidRDefault="00C715EA" w:rsidP="00C715EA">
      <w:pPr>
        <w:pStyle w:val="SingleTxtG"/>
        <w:ind w:firstLine="567"/>
        <w:rPr>
          <w:lang w:val="en-GB"/>
        </w:rPr>
      </w:pPr>
      <w:r w:rsidRPr="00C800C8">
        <w:rPr>
          <w:lang w:val="en-GB"/>
        </w:rPr>
        <w:t>(c)</w:t>
      </w:r>
      <w:r w:rsidRPr="00C800C8">
        <w:rPr>
          <w:lang w:val="en-GB"/>
        </w:rPr>
        <w:tab/>
        <w:t>The responsibility of States to avoid acts constituting intimidation or reprisals and to prevent, protect against, investigate and ensure accountability and to provide effective remedies to victims of such acts or omissions;</w:t>
      </w:r>
    </w:p>
    <w:p w14:paraId="718F0258" w14:textId="77777777" w:rsidR="00C715EA" w:rsidRPr="00C800C8" w:rsidRDefault="00C715EA" w:rsidP="00C715EA">
      <w:pPr>
        <w:pStyle w:val="SingleTxtG"/>
        <w:ind w:firstLine="567"/>
        <w:rPr>
          <w:lang w:val="en-GB"/>
        </w:rPr>
      </w:pPr>
      <w:r w:rsidRPr="00C800C8">
        <w:rPr>
          <w:lang w:val="en-GB"/>
        </w:rPr>
        <w:t>(d)</w:t>
      </w:r>
      <w:r w:rsidRPr="00C800C8">
        <w:rPr>
          <w:lang w:val="en-GB"/>
        </w:rPr>
        <w:tab/>
        <w:t>Equality and non-discrimination;</w:t>
      </w:r>
    </w:p>
    <w:p w14:paraId="1659E7B4" w14:textId="77777777" w:rsidR="00C715EA" w:rsidRPr="00547DBB" w:rsidRDefault="00C715EA" w:rsidP="003460B4">
      <w:pPr>
        <w:pStyle w:val="SingleTxtG"/>
        <w:ind w:firstLine="567"/>
        <w:rPr>
          <w:lang w:val="en-GB"/>
        </w:rPr>
      </w:pPr>
      <w:r w:rsidRPr="00C800C8">
        <w:rPr>
          <w:lang w:val="en-GB"/>
        </w:rPr>
        <w:t>(e)</w:t>
      </w:r>
      <w:r w:rsidRPr="00C800C8">
        <w:rPr>
          <w:lang w:val="en-GB"/>
        </w:rPr>
        <w:tab/>
        <w:t xml:space="preserve">The need to respect the </w:t>
      </w:r>
      <w:r w:rsidR="003D0FE3" w:rsidRPr="00C800C8">
        <w:rPr>
          <w:lang w:val="en-GB"/>
        </w:rPr>
        <w:t>“</w:t>
      </w:r>
      <w:r w:rsidRPr="00C800C8">
        <w:rPr>
          <w:lang w:val="en-GB"/>
        </w:rPr>
        <w:t>do-no-harm</w:t>
      </w:r>
      <w:r w:rsidR="003D0FE3" w:rsidRPr="00C800C8">
        <w:rPr>
          <w:lang w:val="en-GB"/>
        </w:rPr>
        <w:t>”</w:t>
      </w:r>
      <w:r w:rsidRPr="00C800C8">
        <w:rPr>
          <w:lang w:val="en-GB"/>
        </w:rPr>
        <w:t xml:space="preserve"> principle, </w:t>
      </w:r>
      <w:r w:rsidRPr="00547DBB">
        <w:rPr>
          <w:lang w:val="en-GB"/>
        </w:rPr>
        <w:t>participation, confidentiality, safety, security, and free and informed consent;</w:t>
      </w:r>
    </w:p>
    <w:p w14:paraId="121A9014" w14:textId="77777777" w:rsidR="00C715EA" w:rsidRPr="00C800C8" w:rsidRDefault="00C715EA" w:rsidP="003460B4">
      <w:pPr>
        <w:pStyle w:val="SingleTxtG"/>
        <w:ind w:firstLine="567"/>
        <w:rPr>
          <w:lang w:val="en-GB"/>
        </w:rPr>
      </w:pPr>
      <w:r w:rsidRPr="00547DBB">
        <w:rPr>
          <w:lang w:val="en-GB"/>
        </w:rPr>
        <w:t>(f)</w:t>
      </w:r>
      <w:r w:rsidRPr="00547DBB">
        <w:rPr>
          <w:lang w:val="en-GB"/>
        </w:rPr>
        <w:tab/>
        <w:t>The</w:t>
      </w:r>
      <w:r w:rsidRPr="00504A64">
        <w:rPr>
          <w:lang w:val="en-GB"/>
        </w:rPr>
        <w:t xml:space="preserve"> m</w:t>
      </w:r>
      <w:r w:rsidRPr="00547DBB">
        <w:rPr>
          <w:lang w:val="en-GB"/>
        </w:rPr>
        <w:t>ainstreaming of a gender perspective in the work of the treaty bodies</w:t>
      </w:r>
      <w:r w:rsidRPr="00C800C8">
        <w:rPr>
          <w:lang w:val="en-GB"/>
        </w:rPr>
        <w:t>.</w:t>
      </w:r>
    </w:p>
    <w:p w14:paraId="2015FEC6" w14:textId="77777777" w:rsidR="00C715EA" w:rsidRPr="00C800C8" w:rsidRDefault="00C715EA" w:rsidP="00146BD9">
      <w:pPr>
        <w:pStyle w:val="HChG"/>
        <w:rPr>
          <w:lang w:val="en-GB"/>
        </w:rPr>
      </w:pPr>
      <w:r w:rsidRPr="00C800C8">
        <w:rPr>
          <w:lang w:val="en-GB"/>
        </w:rPr>
        <w:tab/>
        <w:t>III.</w:t>
      </w:r>
      <w:r w:rsidRPr="00C800C8">
        <w:rPr>
          <w:lang w:val="en-GB"/>
        </w:rPr>
        <w:tab/>
        <w:t xml:space="preserve">Operational </w:t>
      </w:r>
      <w:r w:rsidR="00146BD9" w:rsidRPr="00C800C8">
        <w:rPr>
          <w:lang w:val="en-GB"/>
        </w:rPr>
        <w:t>p</w:t>
      </w:r>
      <w:r w:rsidRPr="00C800C8">
        <w:rPr>
          <w:lang w:val="en-GB"/>
        </w:rPr>
        <w:t>ractice</w:t>
      </w:r>
    </w:p>
    <w:p w14:paraId="06DBAB8E" w14:textId="77777777" w:rsidR="00C715EA" w:rsidRPr="00C800C8" w:rsidRDefault="00AC3094" w:rsidP="00AC3094">
      <w:pPr>
        <w:pStyle w:val="SingleTxtG"/>
        <w:rPr>
          <w:lang w:val="en-GB"/>
        </w:rPr>
      </w:pPr>
      <w:r w:rsidRPr="00C800C8">
        <w:rPr>
          <w:lang w:val="en-GB"/>
        </w:rPr>
        <w:t>6.</w:t>
      </w:r>
      <w:r w:rsidRPr="00C800C8">
        <w:rPr>
          <w:lang w:val="en-GB"/>
        </w:rPr>
        <w:tab/>
      </w:r>
      <w:r w:rsidR="00C715EA" w:rsidRPr="00C800C8">
        <w:rPr>
          <w:lang w:val="en-GB"/>
        </w:rPr>
        <w:t xml:space="preserve">The treaty bodies possess a range of means to assist and protect individuals and groups alleging that they have been the object of intimidation or reprisals for seeking to cooperate or cooperating with them. Such responses may be taken by the treaty bodies concerned or in cooperation with others, including States, the Secretary-General, </w:t>
      </w:r>
      <w:proofErr w:type="gramStart"/>
      <w:r w:rsidR="00C715EA" w:rsidRPr="00C800C8">
        <w:rPr>
          <w:lang w:val="en-GB"/>
        </w:rPr>
        <w:t>the</w:t>
      </w:r>
      <w:proofErr w:type="gramEnd"/>
      <w:r w:rsidR="00C715EA" w:rsidRPr="00C800C8">
        <w:rPr>
          <w:lang w:val="en-GB"/>
        </w:rPr>
        <w:t xml:space="preserve"> United Nations High Commissioner for Human Rights, the special procedures mandate holders of the Human Rights Council, international and regional organizations, </w:t>
      </w:r>
      <w:r w:rsidR="000F6ACB">
        <w:rPr>
          <w:lang w:val="en-GB"/>
        </w:rPr>
        <w:t>r</w:t>
      </w:r>
      <w:r w:rsidR="00C715EA" w:rsidRPr="00C800C8">
        <w:rPr>
          <w:lang w:val="en-GB"/>
        </w:rPr>
        <w:t xml:space="preserve">esident </w:t>
      </w:r>
      <w:r w:rsidR="000F6ACB">
        <w:rPr>
          <w:lang w:val="en-GB"/>
        </w:rPr>
        <w:t>c</w:t>
      </w:r>
      <w:r w:rsidR="00C715EA" w:rsidRPr="00C800C8">
        <w:rPr>
          <w:lang w:val="en-GB"/>
        </w:rPr>
        <w:t>oordinators and United Nations country teams, the diplomatic community, national human rights institutions and civil society.</w:t>
      </w:r>
    </w:p>
    <w:p w14:paraId="34510DD9" w14:textId="77777777" w:rsidR="00C715EA" w:rsidRPr="00C800C8" w:rsidRDefault="00AC3094" w:rsidP="00AC3094">
      <w:pPr>
        <w:pStyle w:val="SingleTxtG"/>
        <w:rPr>
          <w:lang w:val="en-GB"/>
        </w:rPr>
      </w:pPr>
      <w:r w:rsidRPr="00C800C8">
        <w:rPr>
          <w:lang w:val="en-GB"/>
        </w:rPr>
        <w:t>7.</w:t>
      </w:r>
      <w:r w:rsidRPr="00C800C8">
        <w:rPr>
          <w:lang w:val="en-GB"/>
        </w:rPr>
        <w:tab/>
      </w:r>
      <w:r w:rsidR="00C715EA" w:rsidRPr="00C800C8">
        <w:rPr>
          <w:lang w:val="en-GB"/>
        </w:rPr>
        <w:t xml:space="preserve">The approaches and actions set out below, not all of which are applicable in all contexts, may be applied separately or cumulatively. </w:t>
      </w:r>
    </w:p>
    <w:p w14:paraId="248D1E91" w14:textId="77777777" w:rsidR="00C715EA" w:rsidRPr="00C800C8" w:rsidRDefault="00C715EA" w:rsidP="00C715EA">
      <w:pPr>
        <w:pStyle w:val="H1G"/>
        <w:rPr>
          <w:lang w:val="en-GB"/>
        </w:rPr>
      </w:pPr>
      <w:r w:rsidRPr="00C800C8">
        <w:rPr>
          <w:lang w:val="en-GB"/>
        </w:rPr>
        <w:tab/>
        <w:t>A.</w:t>
      </w:r>
      <w:r w:rsidRPr="00C800C8">
        <w:rPr>
          <w:lang w:val="en-GB"/>
        </w:rPr>
        <w:tab/>
        <w:t>Role of the rapporteurs or focal points on intimidation or reprisals</w:t>
      </w:r>
    </w:p>
    <w:p w14:paraId="54DA6742" w14:textId="77777777" w:rsidR="00C715EA" w:rsidRPr="00C800C8" w:rsidRDefault="00AC3094" w:rsidP="00AC3094">
      <w:pPr>
        <w:pStyle w:val="SingleTxtG"/>
        <w:rPr>
          <w:lang w:val="en-GB"/>
        </w:rPr>
      </w:pPr>
      <w:r w:rsidRPr="00C800C8">
        <w:rPr>
          <w:lang w:val="en-GB"/>
        </w:rPr>
        <w:t>8.</w:t>
      </w:r>
      <w:r w:rsidRPr="00C800C8">
        <w:rPr>
          <w:lang w:val="en-GB"/>
        </w:rPr>
        <w:tab/>
      </w:r>
      <w:r w:rsidR="00C715EA" w:rsidRPr="00C800C8">
        <w:rPr>
          <w:lang w:val="en-GB"/>
        </w:rPr>
        <w:t xml:space="preserve">Each treaty body should consider appointing at least one member as rapporteur or focal point on intimidation or reprisals, for a term to be determined by the treaty body concerned. </w:t>
      </w:r>
    </w:p>
    <w:p w14:paraId="59B82CDC" w14:textId="77777777" w:rsidR="00C715EA" w:rsidRPr="00C800C8" w:rsidRDefault="00621E93" w:rsidP="00E33BFF">
      <w:pPr>
        <w:pStyle w:val="H23G"/>
        <w:rPr>
          <w:lang w:val="en-GB"/>
        </w:rPr>
      </w:pPr>
      <w:r w:rsidRPr="00C800C8">
        <w:rPr>
          <w:lang w:val="en-GB"/>
        </w:rPr>
        <w:tab/>
      </w:r>
      <w:r w:rsidRPr="00C800C8">
        <w:rPr>
          <w:lang w:val="en-GB"/>
        </w:rPr>
        <w:tab/>
      </w:r>
      <w:r w:rsidR="00C715EA" w:rsidRPr="00C800C8">
        <w:rPr>
          <w:lang w:val="en-GB"/>
        </w:rPr>
        <w:t>Consistency across the treaty bodies</w:t>
      </w:r>
    </w:p>
    <w:p w14:paraId="099DE49E" w14:textId="77777777" w:rsidR="00C715EA" w:rsidRPr="00C800C8" w:rsidRDefault="00AC3094" w:rsidP="00AC3094">
      <w:pPr>
        <w:pStyle w:val="SingleTxtG"/>
        <w:rPr>
          <w:lang w:val="en-GB"/>
        </w:rPr>
      </w:pPr>
      <w:r w:rsidRPr="00C800C8">
        <w:rPr>
          <w:lang w:val="en-GB"/>
        </w:rPr>
        <w:t>9.</w:t>
      </w:r>
      <w:r w:rsidRPr="00C800C8">
        <w:rPr>
          <w:lang w:val="en-GB"/>
        </w:rPr>
        <w:tab/>
      </w:r>
      <w:r w:rsidR="00C715EA" w:rsidRPr="00C800C8">
        <w:rPr>
          <w:lang w:val="en-GB"/>
        </w:rPr>
        <w:t>The rapporteurs or focal points should</w:t>
      </w:r>
      <w:r w:rsidR="00B46905" w:rsidRPr="00C800C8">
        <w:rPr>
          <w:lang w:val="en-GB"/>
        </w:rPr>
        <w:t xml:space="preserve">, if appropriate, </w:t>
      </w:r>
      <w:r w:rsidR="00C715EA" w:rsidRPr="00C800C8">
        <w:rPr>
          <w:lang w:val="en-GB"/>
        </w:rPr>
        <w:t>make proposals</w:t>
      </w:r>
      <w:r w:rsidR="00B46905">
        <w:rPr>
          <w:lang w:val="en-GB"/>
        </w:rPr>
        <w:t xml:space="preserve"> </w:t>
      </w:r>
      <w:r w:rsidR="00C715EA" w:rsidRPr="00C800C8">
        <w:rPr>
          <w:lang w:val="en-GB"/>
        </w:rPr>
        <w:t xml:space="preserve">to their respective </w:t>
      </w:r>
      <w:r w:rsidR="00B46905">
        <w:rPr>
          <w:lang w:val="en-GB"/>
        </w:rPr>
        <w:t>committees that</w:t>
      </w:r>
      <w:r w:rsidR="00C715EA" w:rsidRPr="00C800C8">
        <w:rPr>
          <w:lang w:val="en-GB"/>
        </w:rPr>
        <w:t xml:space="preserve"> reflect these Guidelines and </w:t>
      </w:r>
      <w:r w:rsidR="00B46905">
        <w:rPr>
          <w:lang w:val="en-GB"/>
        </w:rPr>
        <w:t>help to</w:t>
      </w:r>
      <w:r w:rsidR="00C715EA" w:rsidRPr="00C800C8">
        <w:rPr>
          <w:lang w:val="en-GB"/>
        </w:rPr>
        <w:t xml:space="preserve"> align </w:t>
      </w:r>
      <w:r w:rsidR="00B46905">
        <w:rPr>
          <w:lang w:val="en-GB"/>
        </w:rPr>
        <w:t xml:space="preserve">the </w:t>
      </w:r>
      <w:r w:rsidR="00C715EA" w:rsidRPr="00C800C8">
        <w:rPr>
          <w:lang w:val="en-GB"/>
        </w:rPr>
        <w:t xml:space="preserve">approaches taken to prevent and protect </w:t>
      </w:r>
      <w:r w:rsidR="00B46905" w:rsidRPr="00C800C8">
        <w:rPr>
          <w:lang w:val="en-GB"/>
        </w:rPr>
        <w:t>individuals and groups</w:t>
      </w:r>
      <w:r w:rsidR="00B46905">
        <w:rPr>
          <w:lang w:val="en-GB"/>
        </w:rPr>
        <w:t xml:space="preserve"> </w:t>
      </w:r>
      <w:r w:rsidR="00C715EA" w:rsidRPr="00C800C8">
        <w:rPr>
          <w:lang w:val="en-GB"/>
        </w:rPr>
        <w:t>against intimidation or reprisals</w:t>
      </w:r>
      <w:r w:rsidR="00B46905">
        <w:rPr>
          <w:lang w:val="en-GB"/>
        </w:rPr>
        <w:t>,</w:t>
      </w:r>
      <w:r w:rsidR="00C715EA" w:rsidRPr="00C800C8">
        <w:rPr>
          <w:lang w:val="en-GB"/>
        </w:rPr>
        <w:t xml:space="preserve"> in order to enhance consistency across the treaty body system. </w:t>
      </w:r>
    </w:p>
    <w:p w14:paraId="09583C12" w14:textId="77777777" w:rsidR="00C715EA" w:rsidRPr="00C800C8" w:rsidRDefault="00C715EA" w:rsidP="00C715EA">
      <w:pPr>
        <w:pStyle w:val="H23G"/>
        <w:rPr>
          <w:lang w:val="en-GB"/>
        </w:rPr>
      </w:pPr>
      <w:r w:rsidRPr="00C800C8">
        <w:rPr>
          <w:lang w:val="en-GB"/>
        </w:rPr>
        <w:lastRenderedPageBreak/>
        <w:tab/>
      </w:r>
      <w:r w:rsidRPr="00C800C8">
        <w:rPr>
          <w:lang w:val="en-GB"/>
        </w:rPr>
        <w:tab/>
        <w:t>Receiving allegations of intimidation or reprisals</w:t>
      </w:r>
    </w:p>
    <w:p w14:paraId="19053AA2" w14:textId="77777777" w:rsidR="00C715EA" w:rsidRPr="00C800C8" w:rsidRDefault="00AC3094" w:rsidP="00AC3094">
      <w:pPr>
        <w:pStyle w:val="SingleTxtG"/>
        <w:rPr>
          <w:lang w:val="en-GB"/>
        </w:rPr>
      </w:pPr>
      <w:r w:rsidRPr="00C800C8">
        <w:rPr>
          <w:lang w:val="en-GB"/>
        </w:rPr>
        <w:t>10.</w:t>
      </w:r>
      <w:r w:rsidRPr="00C800C8">
        <w:rPr>
          <w:lang w:val="en-GB"/>
        </w:rPr>
        <w:tab/>
      </w:r>
      <w:r w:rsidR="00C715EA" w:rsidRPr="00C800C8">
        <w:rPr>
          <w:lang w:val="en-GB"/>
        </w:rPr>
        <w:t xml:space="preserve">The rapporteurs or focal points should be notified as soon as possible of all allegations of intimidation or reprisals against individuals or groups seeking to cooperate or cooperating with the treaty bodies </w:t>
      </w:r>
      <w:r w:rsidR="006147C6">
        <w:rPr>
          <w:lang w:val="en-GB"/>
        </w:rPr>
        <w:t>that</w:t>
      </w:r>
      <w:r w:rsidR="00C715EA" w:rsidRPr="00C800C8">
        <w:rPr>
          <w:lang w:val="en-GB"/>
        </w:rPr>
        <w:t xml:space="preserve"> are submitted to the </w:t>
      </w:r>
      <w:r w:rsidR="00ED23B2">
        <w:rPr>
          <w:lang w:val="en-GB"/>
        </w:rPr>
        <w:t>c</w:t>
      </w:r>
      <w:r w:rsidR="00C715EA" w:rsidRPr="00C800C8">
        <w:rPr>
          <w:lang w:val="en-GB"/>
        </w:rPr>
        <w:t xml:space="preserve">ommittee. They should be provided with all relevant information relating to those allegations. The </w:t>
      </w:r>
      <w:r w:rsidR="00EA1D4D">
        <w:rPr>
          <w:lang w:val="en-GB"/>
        </w:rPr>
        <w:t>C</w:t>
      </w:r>
      <w:r w:rsidR="00C715EA" w:rsidRPr="00C800C8">
        <w:rPr>
          <w:lang w:val="en-GB"/>
        </w:rPr>
        <w:t xml:space="preserve">hair of the relevant committee should be notified of the allegation by the rapporteur or focal point through the </w:t>
      </w:r>
      <w:r w:rsidR="00ED23B2">
        <w:rPr>
          <w:lang w:val="en-GB"/>
        </w:rPr>
        <w:t>s</w:t>
      </w:r>
      <w:r w:rsidR="00C715EA" w:rsidRPr="00C800C8">
        <w:rPr>
          <w:lang w:val="en-GB"/>
        </w:rPr>
        <w:t>ecretariat as soon as possible.</w:t>
      </w:r>
    </w:p>
    <w:p w14:paraId="78A72640" w14:textId="77777777" w:rsidR="00C715EA" w:rsidRPr="00C800C8" w:rsidRDefault="00AC3094" w:rsidP="00AC3094">
      <w:pPr>
        <w:pStyle w:val="SingleTxtG"/>
        <w:rPr>
          <w:lang w:val="en-GB"/>
        </w:rPr>
      </w:pPr>
      <w:r w:rsidRPr="00C800C8">
        <w:rPr>
          <w:lang w:val="en-GB"/>
        </w:rPr>
        <w:t>11.</w:t>
      </w:r>
      <w:r w:rsidRPr="00C800C8">
        <w:rPr>
          <w:lang w:val="en-GB"/>
        </w:rPr>
        <w:tab/>
      </w:r>
      <w:r w:rsidR="00C715EA" w:rsidRPr="00C800C8">
        <w:rPr>
          <w:lang w:val="en-GB"/>
        </w:rPr>
        <w:t xml:space="preserve">Such information may be submitted orally or in writing and may be submitted in confidence. A detailed record of all allegations of intimidation or reprisals </w:t>
      </w:r>
      <w:r w:rsidR="006147C6">
        <w:rPr>
          <w:lang w:val="en-GB"/>
        </w:rPr>
        <w:t>that</w:t>
      </w:r>
      <w:r w:rsidR="00C715EA" w:rsidRPr="00C800C8">
        <w:rPr>
          <w:lang w:val="en-GB"/>
        </w:rPr>
        <w:t xml:space="preserve"> have been submitted should be maintained.</w:t>
      </w:r>
      <w:r w:rsidR="00C57516" w:rsidRPr="00C800C8">
        <w:rPr>
          <w:lang w:val="en-GB"/>
        </w:rPr>
        <w:t xml:space="preserve"> </w:t>
      </w:r>
    </w:p>
    <w:p w14:paraId="3F735771" w14:textId="77777777" w:rsidR="00C715EA" w:rsidRPr="00C800C8" w:rsidRDefault="008D789C" w:rsidP="00E33BFF">
      <w:pPr>
        <w:pStyle w:val="H23G"/>
        <w:rPr>
          <w:lang w:val="en-GB"/>
        </w:rPr>
      </w:pPr>
      <w:r w:rsidRPr="00C800C8">
        <w:rPr>
          <w:lang w:val="en-GB"/>
        </w:rPr>
        <w:tab/>
      </w:r>
      <w:r w:rsidRPr="00C800C8">
        <w:rPr>
          <w:lang w:val="en-GB"/>
        </w:rPr>
        <w:tab/>
      </w:r>
      <w:r w:rsidR="00C715EA" w:rsidRPr="00C800C8">
        <w:rPr>
          <w:lang w:val="en-GB"/>
        </w:rPr>
        <w:t>Assessment of the allegation</w:t>
      </w:r>
    </w:p>
    <w:p w14:paraId="46EE5CFF" w14:textId="77777777" w:rsidR="00C715EA" w:rsidRPr="00C800C8" w:rsidRDefault="00AC3094" w:rsidP="00AC3094">
      <w:pPr>
        <w:pStyle w:val="SingleTxtG"/>
        <w:rPr>
          <w:lang w:val="en-GB"/>
        </w:rPr>
      </w:pPr>
      <w:r w:rsidRPr="00C800C8">
        <w:rPr>
          <w:lang w:val="en-GB"/>
        </w:rPr>
        <w:t>12.</w:t>
      </w:r>
      <w:r w:rsidRPr="00C800C8">
        <w:rPr>
          <w:lang w:val="en-GB"/>
        </w:rPr>
        <w:tab/>
      </w:r>
      <w:r w:rsidR="00C715EA" w:rsidRPr="00C800C8">
        <w:rPr>
          <w:lang w:val="en-GB"/>
        </w:rPr>
        <w:t>The rapporteurs or focal points should make an assessment of the allegation as soon as possible and</w:t>
      </w:r>
      <w:r w:rsidR="00ED23B2">
        <w:rPr>
          <w:lang w:val="en-GB"/>
        </w:rPr>
        <w:t>,</w:t>
      </w:r>
      <w:r w:rsidR="00C715EA" w:rsidRPr="00C800C8">
        <w:rPr>
          <w:lang w:val="en-GB"/>
        </w:rPr>
        <w:t xml:space="preserve"> </w:t>
      </w:r>
      <w:r w:rsidR="006147C6">
        <w:rPr>
          <w:lang w:val="en-GB"/>
        </w:rPr>
        <w:t xml:space="preserve">in so doing, should </w:t>
      </w:r>
      <w:r w:rsidR="00C715EA" w:rsidRPr="00C800C8">
        <w:rPr>
          <w:lang w:val="en-GB"/>
        </w:rPr>
        <w:t>mak</w:t>
      </w:r>
      <w:r w:rsidR="006147C6">
        <w:rPr>
          <w:lang w:val="en-GB"/>
        </w:rPr>
        <w:t>e</w:t>
      </w:r>
      <w:r w:rsidR="00C715EA" w:rsidRPr="00C800C8">
        <w:rPr>
          <w:lang w:val="en-GB"/>
        </w:rPr>
        <w:t xml:space="preserve"> use of a wide variety of sources of information. These sources might include, but are not limited to, the State party, concerned individuals, </w:t>
      </w:r>
      <w:proofErr w:type="gramStart"/>
      <w:r w:rsidR="00C715EA" w:rsidRPr="00C800C8">
        <w:rPr>
          <w:lang w:val="en-GB"/>
        </w:rPr>
        <w:t>the</w:t>
      </w:r>
      <w:proofErr w:type="gramEnd"/>
      <w:r w:rsidR="00C715EA" w:rsidRPr="00C800C8">
        <w:rPr>
          <w:lang w:val="en-GB"/>
        </w:rPr>
        <w:t xml:space="preserve"> </w:t>
      </w:r>
      <w:r w:rsidR="00ED23B2">
        <w:rPr>
          <w:lang w:val="en-GB"/>
        </w:rPr>
        <w:t>s</w:t>
      </w:r>
      <w:r w:rsidR="00C715EA" w:rsidRPr="00C800C8">
        <w:rPr>
          <w:lang w:val="en-GB"/>
        </w:rPr>
        <w:t>ecretariat, the Office of the United Nations High Commissioner for Human Rights</w:t>
      </w:r>
      <w:r w:rsidR="00C715EA" w:rsidRPr="00C800C8" w:rsidDel="000317D3">
        <w:rPr>
          <w:lang w:val="en-GB"/>
        </w:rPr>
        <w:t xml:space="preserve"> </w:t>
      </w:r>
      <w:r w:rsidR="00C715EA" w:rsidRPr="00C800C8">
        <w:rPr>
          <w:lang w:val="en-GB"/>
        </w:rPr>
        <w:t>(OHCHR), including its field presences, other United Nations entities, national human rights institutions, national preventive mechanisms</w:t>
      </w:r>
      <w:r w:rsidR="006147C6">
        <w:rPr>
          <w:lang w:val="en-GB"/>
        </w:rPr>
        <w:t xml:space="preserve"> and</w:t>
      </w:r>
      <w:r w:rsidR="00C715EA" w:rsidRPr="00C800C8">
        <w:rPr>
          <w:lang w:val="en-GB"/>
        </w:rPr>
        <w:t xml:space="preserve"> civil society. Pending th</w:t>
      </w:r>
      <w:r w:rsidR="006147C6">
        <w:rPr>
          <w:lang w:val="en-GB"/>
        </w:rPr>
        <w:t>e</w:t>
      </w:r>
      <w:r w:rsidR="00C715EA" w:rsidRPr="00C800C8">
        <w:rPr>
          <w:lang w:val="en-GB"/>
        </w:rPr>
        <w:t xml:space="preserve"> initial assessment, all incidents should be referred to as allegations of intimidation or reprisals. The rapporteurs or focal points should consult and liaise with any relevant </w:t>
      </w:r>
      <w:r w:rsidR="00ED23B2">
        <w:rPr>
          <w:lang w:val="en-GB"/>
        </w:rPr>
        <w:t>c</w:t>
      </w:r>
      <w:r w:rsidR="00C715EA" w:rsidRPr="00C800C8">
        <w:rPr>
          <w:lang w:val="en-GB"/>
        </w:rPr>
        <w:t>ommittee country rapporteurs during the process of initial assessment. Any issues of confidentiality must be respected throughout the assessment and subsequent processes.</w:t>
      </w:r>
    </w:p>
    <w:p w14:paraId="41727F66" w14:textId="77777777" w:rsidR="00C715EA" w:rsidRPr="00C800C8" w:rsidRDefault="00344C0E" w:rsidP="00344C0E">
      <w:pPr>
        <w:pStyle w:val="H23G"/>
        <w:rPr>
          <w:lang w:val="en-GB"/>
        </w:rPr>
      </w:pPr>
      <w:r w:rsidRPr="00C800C8">
        <w:rPr>
          <w:lang w:val="en-GB"/>
        </w:rPr>
        <w:tab/>
      </w:r>
      <w:r w:rsidRPr="00C800C8">
        <w:rPr>
          <w:lang w:val="en-GB"/>
        </w:rPr>
        <w:tab/>
      </w:r>
      <w:r w:rsidR="00C715EA" w:rsidRPr="00C800C8">
        <w:rPr>
          <w:lang w:val="en-GB"/>
        </w:rPr>
        <w:t>Determining the appropriate course of action</w:t>
      </w:r>
    </w:p>
    <w:p w14:paraId="608E40F2" w14:textId="77777777" w:rsidR="00C715EA" w:rsidRPr="00C800C8" w:rsidRDefault="00AC3094" w:rsidP="00AC3094">
      <w:pPr>
        <w:pStyle w:val="SingleTxtG"/>
        <w:rPr>
          <w:lang w:val="en-GB"/>
        </w:rPr>
      </w:pPr>
      <w:r w:rsidRPr="00C800C8">
        <w:rPr>
          <w:lang w:val="en-GB"/>
        </w:rPr>
        <w:t>13.</w:t>
      </w:r>
      <w:r w:rsidRPr="00C800C8">
        <w:rPr>
          <w:lang w:val="en-GB"/>
        </w:rPr>
        <w:tab/>
      </w:r>
      <w:r w:rsidR="00C715EA" w:rsidRPr="00C800C8">
        <w:rPr>
          <w:lang w:val="en-GB"/>
        </w:rPr>
        <w:t xml:space="preserve">The rapporteurs or focal points should maintain contact with the individuals or groups alleging intimidation or reprisals, or their representatives, and determine the most appropriate course of action in each case. When doing so, they should consider the possible consequences for the individuals or the groups alleging intimidation or reprisals </w:t>
      </w:r>
      <w:r w:rsidR="006147C6">
        <w:rPr>
          <w:lang w:val="en-GB"/>
        </w:rPr>
        <w:t>o</w:t>
      </w:r>
      <w:r w:rsidR="00C715EA" w:rsidRPr="00C800C8">
        <w:rPr>
          <w:lang w:val="en-GB"/>
        </w:rPr>
        <w:t>f seeking to cooperate or cooperating with the treaty bodies, or for others who may be affected by that action.</w:t>
      </w:r>
    </w:p>
    <w:p w14:paraId="4C5E7C66" w14:textId="77777777" w:rsidR="00C715EA" w:rsidRPr="00C800C8" w:rsidRDefault="00AC3094" w:rsidP="00AC3094">
      <w:pPr>
        <w:pStyle w:val="SingleTxtG"/>
        <w:rPr>
          <w:lang w:val="en-GB"/>
        </w:rPr>
      </w:pPr>
      <w:r w:rsidRPr="00C800C8">
        <w:rPr>
          <w:lang w:val="en-GB"/>
        </w:rPr>
        <w:t>14.</w:t>
      </w:r>
      <w:r w:rsidRPr="00C800C8">
        <w:rPr>
          <w:lang w:val="en-GB"/>
        </w:rPr>
        <w:tab/>
      </w:r>
      <w:r w:rsidR="00C715EA" w:rsidRPr="00C800C8">
        <w:rPr>
          <w:lang w:val="en-GB"/>
        </w:rPr>
        <w:t>The rapporteur or focal point should inform the Chair of their conclusions. If it appears that intimidation or reprisals have or might have taken place, the rapporteur or</w:t>
      </w:r>
      <w:r w:rsidR="00C57516" w:rsidRPr="00C800C8">
        <w:rPr>
          <w:lang w:val="en-GB"/>
        </w:rPr>
        <w:t xml:space="preserve"> </w:t>
      </w:r>
      <w:r w:rsidR="00C715EA" w:rsidRPr="00C800C8">
        <w:rPr>
          <w:lang w:val="en-GB"/>
        </w:rPr>
        <w:t xml:space="preserve">focal points should inform the Chair of the committee concerned and advise </w:t>
      </w:r>
      <w:r w:rsidR="006147C6">
        <w:rPr>
          <w:lang w:val="en-GB"/>
        </w:rPr>
        <w:t xml:space="preserve">the </w:t>
      </w:r>
      <w:r w:rsidR="00EA1D4D">
        <w:rPr>
          <w:lang w:val="en-GB"/>
        </w:rPr>
        <w:t>C</w:t>
      </w:r>
      <w:r w:rsidR="006147C6">
        <w:rPr>
          <w:lang w:val="en-GB"/>
        </w:rPr>
        <w:t>hair</w:t>
      </w:r>
      <w:r w:rsidR="00C715EA" w:rsidRPr="00C800C8">
        <w:rPr>
          <w:lang w:val="en-GB"/>
        </w:rPr>
        <w:t xml:space="preserve"> of a </w:t>
      </w:r>
      <w:r w:rsidR="006147C6">
        <w:rPr>
          <w:lang w:val="en-GB"/>
        </w:rPr>
        <w:t xml:space="preserve">potential </w:t>
      </w:r>
      <w:r w:rsidR="00C715EA" w:rsidRPr="00C800C8">
        <w:rPr>
          <w:lang w:val="en-GB"/>
        </w:rPr>
        <w:t xml:space="preserve">course of action. </w:t>
      </w:r>
      <w:r w:rsidR="006147C6">
        <w:rPr>
          <w:lang w:val="en-GB"/>
        </w:rPr>
        <w:t>I</w:t>
      </w:r>
      <w:r w:rsidR="006147C6" w:rsidRPr="00C800C8">
        <w:rPr>
          <w:lang w:val="en-GB"/>
        </w:rPr>
        <w:t xml:space="preserve">f </w:t>
      </w:r>
      <w:r w:rsidR="006147C6">
        <w:rPr>
          <w:lang w:val="en-GB"/>
        </w:rPr>
        <w:t xml:space="preserve">there is a </w:t>
      </w:r>
      <w:r w:rsidR="00C715EA" w:rsidRPr="00C800C8">
        <w:rPr>
          <w:lang w:val="en-GB"/>
        </w:rPr>
        <w:t xml:space="preserve">country rapporteur, </w:t>
      </w:r>
      <w:r w:rsidR="006147C6">
        <w:rPr>
          <w:lang w:val="en-GB"/>
        </w:rPr>
        <w:t>he or she</w:t>
      </w:r>
      <w:r w:rsidR="00C715EA" w:rsidRPr="00C800C8">
        <w:rPr>
          <w:lang w:val="en-GB"/>
        </w:rPr>
        <w:t xml:space="preserve"> should also be notified and </w:t>
      </w:r>
      <w:r w:rsidR="006147C6">
        <w:rPr>
          <w:lang w:val="en-GB"/>
        </w:rPr>
        <w:t>his or her</w:t>
      </w:r>
      <w:r w:rsidR="00C715EA" w:rsidRPr="00C800C8">
        <w:rPr>
          <w:lang w:val="en-GB"/>
        </w:rPr>
        <w:t xml:space="preserve"> views sought. A decision should then be taken in accordance with the </w:t>
      </w:r>
      <w:r w:rsidR="006147C6">
        <w:rPr>
          <w:lang w:val="en-GB"/>
        </w:rPr>
        <w:t>r</w:t>
      </w:r>
      <w:r w:rsidR="00C715EA" w:rsidRPr="00C800C8">
        <w:rPr>
          <w:lang w:val="en-GB"/>
        </w:rPr>
        <w:t xml:space="preserve">ules of </w:t>
      </w:r>
      <w:r w:rsidR="006147C6">
        <w:rPr>
          <w:lang w:val="en-GB"/>
        </w:rPr>
        <w:t>p</w:t>
      </w:r>
      <w:r w:rsidR="00C715EA" w:rsidRPr="00C800C8">
        <w:rPr>
          <w:lang w:val="en-GB"/>
        </w:rPr>
        <w:t>rocedure of the committee concerned.</w:t>
      </w:r>
    </w:p>
    <w:p w14:paraId="5FD731E4" w14:textId="77777777" w:rsidR="00C715EA" w:rsidRPr="00C800C8" w:rsidRDefault="00C715EA" w:rsidP="00C715EA">
      <w:pPr>
        <w:pStyle w:val="H23G"/>
        <w:rPr>
          <w:lang w:val="en-GB"/>
        </w:rPr>
      </w:pPr>
      <w:r w:rsidRPr="00C800C8">
        <w:rPr>
          <w:lang w:val="en-GB"/>
        </w:rPr>
        <w:tab/>
      </w:r>
      <w:r w:rsidRPr="00C800C8">
        <w:rPr>
          <w:lang w:val="en-GB"/>
        </w:rPr>
        <w:tab/>
        <w:t>Standing agenda item to be considered by each treaty body on an annual basis</w:t>
      </w:r>
    </w:p>
    <w:p w14:paraId="5DA1D3B0" w14:textId="77777777" w:rsidR="00C715EA" w:rsidRPr="00C800C8" w:rsidRDefault="00AC3094" w:rsidP="00AC3094">
      <w:pPr>
        <w:pStyle w:val="SingleTxtG"/>
        <w:rPr>
          <w:lang w:val="en-GB"/>
        </w:rPr>
      </w:pPr>
      <w:r w:rsidRPr="00C800C8">
        <w:rPr>
          <w:lang w:val="en-GB"/>
        </w:rPr>
        <w:t>15.</w:t>
      </w:r>
      <w:r w:rsidRPr="00C800C8">
        <w:rPr>
          <w:lang w:val="en-GB"/>
        </w:rPr>
        <w:tab/>
      </w:r>
      <w:r w:rsidR="00C715EA" w:rsidRPr="00C800C8">
        <w:rPr>
          <w:lang w:val="en-GB"/>
        </w:rPr>
        <w:t xml:space="preserve">Treaty bodies should have as a standing agenda item, to be considered on an annual basis, an update by the rapporteurs or focal points on intimidation or reprisals. </w:t>
      </w:r>
    </w:p>
    <w:p w14:paraId="2442FB4E" w14:textId="77777777" w:rsidR="00C715EA" w:rsidRPr="00C800C8" w:rsidRDefault="00C715EA" w:rsidP="00C715EA">
      <w:pPr>
        <w:pStyle w:val="H23G"/>
        <w:rPr>
          <w:lang w:val="en-GB"/>
        </w:rPr>
      </w:pPr>
      <w:r w:rsidRPr="00C800C8">
        <w:rPr>
          <w:lang w:val="en-GB"/>
        </w:rPr>
        <w:tab/>
      </w:r>
      <w:r w:rsidRPr="00C800C8">
        <w:rPr>
          <w:lang w:val="en-GB"/>
        </w:rPr>
        <w:tab/>
        <w:t>Network of rapporteurs and focal points on intimidation or reprisals</w:t>
      </w:r>
    </w:p>
    <w:p w14:paraId="38AF962F" w14:textId="77777777" w:rsidR="00C715EA" w:rsidRPr="00C800C8" w:rsidRDefault="00AC3094" w:rsidP="00AC3094">
      <w:pPr>
        <w:pStyle w:val="SingleTxtG"/>
        <w:rPr>
          <w:lang w:val="en-GB"/>
        </w:rPr>
      </w:pPr>
      <w:r w:rsidRPr="00C800C8">
        <w:rPr>
          <w:lang w:val="en-GB"/>
        </w:rPr>
        <w:t>16.</w:t>
      </w:r>
      <w:r w:rsidRPr="00C800C8">
        <w:rPr>
          <w:lang w:val="en-GB"/>
        </w:rPr>
        <w:tab/>
      </w:r>
      <w:r w:rsidR="00C715EA" w:rsidRPr="00C800C8">
        <w:rPr>
          <w:lang w:val="en-GB"/>
        </w:rPr>
        <w:t xml:space="preserve">Collectively, the rapporteurs and focal points on intimidation or reprisals serve as a network for sharing information, facilitating supportive action by other treaty bodies when appropriate, and aligning approaches </w:t>
      </w:r>
      <w:r w:rsidR="00262502">
        <w:rPr>
          <w:lang w:val="en-GB"/>
        </w:rPr>
        <w:t>on</w:t>
      </w:r>
      <w:r w:rsidR="00C715EA" w:rsidRPr="00C800C8">
        <w:rPr>
          <w:lang w:val="en-GB"/>
        </w:rPr>
        <w:t xml:space="preserve"> the most effective means of addressing intimidation or reprisals across the treaty body system. The advice of this network may be sought by the treaty body Chairs. </w:t>
      </w:r>
      <w:r w:rsidR="00C715EA" w:rsidRPr="00504A64">
        <w:rPr>
          <w:lang w:val="en-GB"/>
        </w:rPr>
        <w:t>In addition, th</w:t>
      </w:r>
      <w:r w:rsidR="00504A64">
        <w:rPr>
          <w:lang w:val="en-GB"/>
        </w:rPr>
        <w:t>e</w:t>
      </w:r>
      <w:r w:rsidR="00C715EA" w:rsidRPr="00504A64">
        <w:rPr>
          <w:lang w:val="en-GB"/>
        </w:rPr>
        <w:t xml:space="preserve"> network </w:t>
      </w:r>
      <w:r w:rsidR="00504A64">
        <w:rPr>
          <w:lang w:val="en-GB"/>
        </w:rPr>
        <w:t>could</w:t>
      </w:r>
      <w:r w:rsidR="00C715EA" w:rsidRPr="00504A64">
        <w:rPr>
          <w:lang w:val="en-GB"/>
        </w:rPr>
        <w:t xml:space="preserve"> be consulted in </w:t>
      </w:r>
      <w:r w:rsidR="00504A64">
        <w:rPr>
          <w:lang w:val="en-GB"/>
        </w:rPr>
        <w:t>the</w:t>
      </w:r>
      <w:r w:rsidR="00C715EA" w:rsidRPr="00504A64">
        <w:rPr>
          <w:lang w:val="en-GB"/>
        </w:rPr>
        <w:t xml:space="preserve"> develop</w:t>
      </w:r>
      <w:r w:rsidR="00504A64">
        <w:rPr>
          <w:lang w:val="en-GB"/>
        </w:rPr>
        <w:t>ment</w:t>
      </w:r>
      <w:r w:rsidR="00C715EA" w:rsidRPr="00504A64">
        <w:rPr>
          <w:lang w:val="en-GB"/>
        </w:rPr>
        <w:t xml:space="preserve"> </w:t>
      </w:r>
      <w:r w:rsidR="00504A64">
        <w:rPr>
          <w:lang w:val="en-GB"/>
        </w:rPr>
        <w:t xml:space="preserve">of </w:t>
      </w:r>
      <w:r w:rsidR="00C715EA" w:rsidRPr="00504A64">
        <w:rPr>
          <w:lang w:val="en-GB"/>
        </w:rPr>
        <w:t xml:space="preserve">additional strategies to further strengthen the protection of individuals and groups against intimidation or reprisals </w:t>
      </w:r>
      <w:r w:rsidR="00504A64">
        <w:rPr>
          <w:lang w:val="en-GB"/>
        </w:rPr>
        <w:t>resulting from their</w:t>
      </w:r>
      <w:r w:rsidR="00C715EA" w:rsidRPr="00504A64">
        <w:rPr>
          <w:lang w:val="en-GB"/>
        </w:rPr>
        <w:t xml:space="preserve"> seeking to cooperate or cooperating with the treaty bodies.</w:t>
      </w:r>
      <w:r w:rsidR="00C715EA" w:rsidRPr="00C800C8">
        <w:rPr>
          <w:lang w:val="en-GB"/>
        </w:rPr>
        <w:t xml:space="preserve"> </w:t>
      </w:r>
    </w:p>
    <w:p w14:paraId="4321616A" w14:textId="77777777" w:rsidR="00C715EA" w:rsidRPr="00C800C8" w:rsidRDefault="00C715EA" w:rsidP="00C715EA">
      <w:pPr>
        <w:pStyle w:val="H23G"/>
        <w:rPr>
          <w:lang w:val="en-GB"/>
        </w:rPr>
      </w:pPr>
      <w:r w:rsidRPr="00C800C8">
        <w:rPr>
          <w:lang w:val="en-GB"/>
        </w:rPr>
        <w:lastRenderedPageBreak/>
        <w:tab/>
      </w:r>
      <w:r w:rsidRPr="00C800C8">
        <w:rPr>
          <w:lang w:val="en-GB"/>
        </w:rPr>
        <w:tab/>
        <w:t>Compiling good practices</w:t>
      </w:r>
    </w:p>
    <w:p w14:paraId="72A2FF43" w14:textId="77777777" w:rsidR="00C715EA" w:rsidRPr="00C800C8" w:rsidRDefault="00AC3094" w:rsidP="00AC3094">
      <w:pPr>
        <w:pStyle w:val="SingleTxtG"/>
        <w:rPr>
          <w:lang w:val="en-GB"/>
        </w:rPr>
      </w:pPr>
      <w:r w:rsidRPr="00C800C8">
        <w:rPr>
          <w:lang w:val="en-GB"/>
        </w:rPr>
        <w:t>17.</w:t>
      </w:r>
      <w:r w:rsidRPr="00C800C8">
        <w:rPr>
          <w:lang w:val="en-GB"/>
        </w:rPr>
        <w:tab/>
      </w:r>
      <w:r w:rsidR="00C715EA" w:rsidRPr="00C800C8">
        <w:rPr>
          <w:lang w:val="en-GB"/>
        </w:rPr>
        <w:t xml:space="preserve">The rapporteurs or focal points on intimidation or reprisals should compile information on good practices relating to protective approaches </w:t>
      </w:r>
      <w:r w:rsidR="00617FC5">
        <w:rPr>
          <w:lang w:val="en-GB"/>
        </w:rPr>
        <w:t>of which</w:t>
      </w:r>
      <w:r w:rsidR="00C715EA" w:rsidRPr="00C800C8">
        <w:rPr>
          <w:lang w:val="en-GB"/>
        </w:rPr>
        <w:t xml:space="preserve"> they may become aware through the work of the committees or other</w:t>
      </w:r>
      <w:r w:rsidR="00617FC5">
        <w:rPr>
          <w:lang w:val="en-GB"/>
        </w:rPr>
        <w:t xml:space="preserve"> bodies</w:t>
      </w:r>
      <w:r w:rsidR="00C715EA" w:rsidRPr="00C800C8">
        <w:rPr>
          <w:lang w:val="en-GB"/>
        </w:rPr>
        <w:t>.</w:t>
      </w:r>
    </w:p>
    <w:p w14:paraId="7227B2C9" w14:textId="77777777" w:rsidR="00C715EA" w:rsidRPr="00C800C8" w:rsidRDefault="00C715EA" w:rsidP="00C715EA">
      <w:pPr>
        <w:pStyle w:val="H1G"/>
        <w:rPr>
          <w:lang w:val="en-GB"/>
        </w:rPr>
      </w:pPr>
      <w:r w:rsidRPr="00C800C8">
        <w:rPr>
          <w:lang w:val="en-GB"/>
        </w:rPr>
        <w:tab/>
        <w:t>B.</w:t>
      </w:r>
      <w:r w:rsidRPr="00C800C8">
        <w:rPr>
          <w:lang w:val="en-GB"/>
        </w:rPr>
        <w:tab/>
        <w:t>Preventive measures</w:t>
      </w:r>
    </w:p>
    <w:p w14:paraId="7802B630" w14:textId="77777777" w:rsidR="00C715EA" w:rsidRPr="00C800C8" w:rsidRDefault="00C715EA" w:rsidP="00C715EA">
      <w:pPr>
        <w:pStyle w:val="H23G"/>
        <w:rPr>
          <w:lang w:val="en-GB"/>
        </w:rPr>
      </w:pPr>
      <w:r w:rsidRPr="00C800C8">
        <w:rPr>
          <w:lang w:val="en-GB"/>
        </w:rPr>
        <w:tab/>
      </w:r>
      <w:r w:rsidRPr="00C800C8">
        <w:rPr>
          <w:lang w:val="en-GB"/>
        </w:rPr>
        <w:tab/>
        <w:t>Specific measures</w:t>
      </w:r>
    </w:p>
    <w:p w14:paraId="1B14424E" w14:textId="77777777" w:rsidR="00C715EA" w:rsidRPr="00C800C8" w:rsidRDefault="00AC3094" w:rsidP="00AC3094">
      <w:pPr>
        <w:pStyle w:val="SingleTxtG"/>
        <w:rPr>
          <w:lang w:val="en-GB"/>
        </w:rPr>
      </w:pPr>
      <w:r w:rsidRPr="00C800C8">
        <w:rPr>
          <w:lang w:val="en-GB"/>
        </w:rPr>
        <w:t>18.</w:t>
      </w:r>
      <w:r w:rsidRPr="00C800C8">
        <w:rPr>
          <w:lang w:val="en-GB"/>
        </w:rPr>
        <w:tab/>
      </w:r>
      <w:r w:rsidR="00C715EA" w:rsidRPr="00C800C8">
        <w:rPr>
          <w:lang w:val="en-GB"/>
        </w:rPr>
        <w:t xml:space="preserve">Where possible, </w:t>
      </w:r>
      <w:r w:rsidR="00617FC5">
        <w:rPr>
          <w:lang w:val="en-GB"/>
        </w:rPr>
        <w:t>t</w:t>
      </w:r>
      <w:r w:rsidR="00C715EA" w:rsidRPr="00C800C8">
        <w:rPr>
          <w:lang w:val="en-GB"/>
        </w:rPr>
        <w:t xml:space="preserve">reaty bodies should take steps to prevent intimidation </w:t>
      </w:r>
      <w:r w:rsidR="00617FC5">
        <w:rPr>
          <w:lang w:val="en-GB"/>
        </w:rPr>
        <w:t>and</w:t>
      </w:r>
      <w:r w:rsidR="00C715EA" w:rsidRPr="00C800C8">
        <w:rPr>
          <w:lang w:val="en-GB"/>
        </w:rPr>
        <w:t xml:space="preserve"> reprisals. Preventive measures could include permitting requests from individuals or groups to provide information to the relevant treaty body in a confidential manner and reminding States parties of their primary obligation to prevent and refrain from all acts of intimidation or reprisals against individuals and groups seeking to cooperate or cooperating with the treaty bodies. </w:t>
      </w:r>
    </w:p>
    <w:p w14:paraId="73406F58" w14:textId="77777777" w:rsidR="00C715EA" w:rsidRPr="00C800C8" w:rsidRDefault="00C715EA" w:rsidP="00C715EA">
      <w:pPr>
        <w:pStyle w:val="H23G"/>
        <w:rPr>
          <w:lang w:val="en-GB"/>
        </w:rPr>
      </w:pPr>
      <w:r w:rsidRPr="00C800C8">
        <w:rPr>
          <w:lang w:val="en-GB"/>
        </w:rPr>
        <w:tab/>
      </w:r>
      <w:r w:rsidRPr="00C800C8">
        <w:rPr>
          <w:lang w:val="en-GB"/>
        </w:rPr>
        <w:tab/>
        <w:t>Protection measures</w:t>
      </w:r>
    </w:p>
    <w:p w14:paraId="09FC67FA" w14:textId="77777777" w:rsidR="00C715EA" w:rsidRPr="00C800C8" w:rsidRDefault="00AC3094" w:rsidP="00AC3094">
      <w:pPr>
        <w:pStyle w:val="SingleTxtG"/>
        <w:rPr>
          <w:lang w:val="en-GB"/>
        </w:rPr>
      </w:pPr>
      <w:r w:rsidRPr="00C800C8">
        <w:rPr>
          <w:lang w:val="en-GB"/>
        </w:rPr>
        <w:t>19.</w:t>
      </w:r>
      <w:r w:rsidRPr="00C800C8">
        <w:rPr>
          <w:lang w:val="en-GB"/>
        </w:rPr>
        <w:tab/>
      </w:r>
      <w:r w:rsidR="00C715EA" w:rsidRPr="00C800C8">
        <w:rPr>
          <w:lang w:val="en-GB"/>
        </w:rPr>
        <w:t>When it is alleged that an individual or group is at risk of intimidation or reprisals for seeking to</w:t>
      </w:r>
      <w:r w:rsidR="00262502">
        <w:rPr>
          <w:lang w:val="en-GB"/>
        </w:rPr>
        <w:t xml:space="preserve"> communicate</w:t>
      </w:r>
      <w:r w:rsidR="00C715EA" w:rsidRPr="00C800C8">
        <w:rPr>
          <w:lang w:val="en-GB"/>
        </w:rPr>
        <w:t xml:space="preserve"> or for having communicated with a treaty body, including as a result of filing or of considering or attempting to file a formal complaint to a treaty body in the framework of the individual communications procedure</w:t>
      </w:r>
      <w:r w:rsidR="00617FC5">
        <w:rPr>
          <w:lang w:val="en-GB"/>
        </w:rPr>
        <w:t>s</w:t>
      </w:r>
      <w:r w:rsidR="00C715EA" w:rsidRPr="00C800C8">
        <w:rPr>
          <w:lang w:val="en-GB"/>
        </w:rPr>
        <w:t>, the committee concerned can request the relevant State party to adopt protection measures for the individual or group concerned. Such measures can include requests to refrain from any acts of intimidation or reprisals and to adopt all measures</w:t>
      </w:r>
      <w:r w:rsidR="00262502" w:rsidRPr="00262502">
        <w:rPr>
          <w:lang w:val="en-GB"/>
        </w:rPr>
        <w:t xml:space="preserve"> </w:t>
      </w:r>
      <w:r w:rsidR="00262502" w:rsidRPr="00C800C8">
        <w:rPr>
          <w:lang w:val="en-GB"/>
        </w:rPr>
        <w:t>necessary</w:t>
      </w:r>
      <w:r w:rsidR="00C715EA" w:rsidRPr="00C800C8">
        <w:rPr>
          <w:lang w:val="en-GB"/>
        </w:rPr>
        <w:t xml:space="preserve"> to protect those at risk. The State party may be requested to provide the committee, within a specific deadline, with information on measures taken to comply with the request. </w:t>
      </w:r>
    </w:p>
    <w:p w14:paraId="332D8F9A" w14:textId="77777777" w:rsidR="00C715EA" w:rsidRPr="00C800C8" w:rsidRDefault="00C47182" w:rsidP="00E33BFF">
      <w:pPr>
        <w:pStyle w:val="H23G"/>
        <w:rPr>
          <w:lang w:val="en-GB"/>
        </w:rPr>
      </w:pPr>
      <w:r w:rsidRPr="00C800C8">
        <w:rPr>
          <w:lang w:val="en-GB"/>
        </w:rPr>
        <w:tab/>
      </w:r>
      <w:r w:rsidRPr="00C800C8">
        <w:rPr>
          <w:lang w:val="en-GB"/>
        </w:rPr>
        <w:tab/>
      </w:r>
      <w:r w:rsidR="00C715EA" w:rsidRPr="00C800C8">
        <w:rPr>
          <w:lang w:val="en-GB"/>
        </w:rPr>
        <w:t>Awareness-raising</w:t>
      </w:r>
    </w:p>
    <w:p w14:paraId="75EAE01B" w14:textId="77777777" w:rsidR="00C715EA" w:rsidRPr="00C800C8" w:rsidRDefault="00AC3094" w:rsidP="00AC3094">
      <w:pPr>
        <w:pStyle w:val="SingleTxtG"/>
        <w:rPr>
          <w:lang w:val="en-GB"/>
        </w:rPr>
      </w:pPr>
      <w:r w:rsidRPr="00C800C8">
        <w:rPr>
          <w:lang w:val="en-GB"/>
        </w:rPr>
        <w:t>20.</w:t>
      </w:r>
      <w:r w:rsidRPr="00C800C8">
        <w:rPr>
          <w:lang w:val="en-GB"/>
        </w:rPr>
        <w:tab/>
      </w:r>
      <w:r w:rsidR="00C715EA" w:rsidRPr="00C800C8">
        <w:rPr>
          <w:lang w:val="en-GB"/>
        </w:rPr>
        <w:t>Treaty bodies should take initiatives that affirm the crucial importance of cooperation with all stakeholders in addressing intimidation or reprisals. Such initiatives may include making the protection of members of</w:t>
      </w:r>
      <w:r w:rsidR="00C57516" w:rsidRPr="00C800C8">
        <w:rPr>
          <w:lang w:val="en-GB"/>
        </w:rPr>
        <w:t xml:space="preserve"> </w:t>
      </w:r>
      <w:r w:rsidR="00C715EA" w:rsidRPr="00C800C8">
        <w:rPr>
          <w:lang w:val="en-GB"/>
        </w:rPr>
        <w:t xml:space="preserve">civil society and others a regular item on the agenda of informal meetings with States parties, broadly disseminating the present </w:t>
      </w:r>
      <w:r w:rsidR="00F11F3E">
        <w:rPr>
          <w:lang w:val="en-GB"/>
        </w:rPr>
        <w:t>G</w:t>
      </w:r>
      <w:r w:rsidR="00C715EA" w:rsidRPr="00C800C8">
        <w:rPr>
          <w:lang w:val="en-GB"/>
        </w:rPr>
        <w:t xml:space="preserve">uidelines and adopting public statements, possibly jointly with other human rights mechanisms. </w:t>
      </w:r>
    </w:p>
    <w:p w14:paraId="4EA471DB" w14:textId="77777777" w:rsidR="00C715EA" w:rsidRPr="00C800C8" w:rsidRDefault="00C715EA" w:rsidP="00C715EA">
      <w:pPr>
        <w:pStyle w:val="H1G"/>
        <w:rPr>
          <w:lang w:val="en-GB"/>
        </w:rPr>
      </w:pPr>
      <w:r w:rsidRPr="00C800C8">
        <w:rPr>
          <w:lang w:val="en-GB"/>
        </w:rPr>
        <w:tab/>
        <w:t>C.</w:t>
      </w:r>
      <w:r w:rsidRPr="00C800C8">
        <w:rPr>
          <w:lang w:val="en-GB"/>
        </w:rPr>
        <w:tab/>
        <w:t xml:space="preserve">Further measures </w:t>
      </w:r>
    </w:p>
    <w:p w14:paraId="15B0B6C1" w14:textId="77777777" w:rsidR="00C715EA" w:rsidRPr="00C800C8" w:rsidRDefault="00C715EA" w:rsidP="00C715EA">
      <w:pPr>
        <w:pStyle w:val="H23G"/>
        <w:rPr>
          <w:lang w:val="en-GB"/>
        </w:rPr>
      </w:pPr>
      <w:r w:rsidRPr="00C800C8">
        <w:rPr>
          <w:lang w:val="en-GB"/>
        </w:rPr>
        <w:tab/>
      </w:r>
      <w:r w:rsidRPr="00C800C8">
        <w:rPr>
          <w:lang w:val="en-GB"/>
        </w:rPr>
        <w:tab/>
        <w:t>Raising concerns confidentially with State party authorities</w:t>
      </w:r>
    </w:p>
    <w:p w14:paraId="375FB593" w14:textId="77777777" w:rsidR="00C715EA" w:rsidRPr="00C800C8" w:rsidRDefault="00AC3094" w:rsidP="00AC3094">
      <w:pPr>
        <w:pStyle w:val="SingleTxtG"/>
        <w:rPr>
          <w:lang w:val="en-GB"/>
        </w:rPr>
      </w:pPr>
      <w:r w:rsidRPr="00C800C8">
        <w:rPr>
          <w:lang w:val="en-GB"/>
        </w:rPr>
        <w:t>21.</w:t>
      </w:r>
      <w:r w:rsidRPr="00C800C8">
        <w:rPr>
          <w:lang w:val="en-GB"/>
        </w:rPr>
        <w:tab/>
      </w:r>
      <w:r w:rsidR="00C715EA" w:rsidRPr="00C800C8">
        <w:rPr>
          <w:lang w:val="en-GB"/>
        </w:rPr>
        <w:t>When allegations of intimidation or reprisals are received, and with the consent of the individual or group concerned when appropriate, the relevant treaty body should, as appropriate, contact the State party to request information, express its concern and request an investigation and the immediate cessation of any such acts. T</w:t>
      </w:r>
      <w:r w:rsidR="00754929">
        <w:rPr>
          <w:lang w:val="en-GB"/>
        </w:rPr>
        <w:t>he t</w:t>
      </w:r>
      <w:r w:rsidR="00C715EA" w:rsidRPr="00C800C8">
        <w:rPr>
          <w:lang w:val="en-GB"/>
        </w:rPr>
        <w:t xml:space="preserve">reaty bodies may also </w:t>
      </w:r>
      <w:r w:rsidR="00617FC5">
        <w:rPr>
          <w:lang w:val="en-GB"/>
        </w:rPr>
        <w:t>interact</w:t>
      </w:r>
      <w:r w:rsidR="00C715EA" w:rsidRPr="00C800C8">
        <w:rPr>
          <w:lang w:val="en-GB"/>
        </w:rPr>
        <w:t xml:space="preserve"> with State authorities in a discrete manner, through confidential correspondence or a meeting with a representative of the permanent mission of the State party, or any other appropriate means.</w:t>
      </w:r>
    </w:p>
    <w:p w14:paraId="6DC5895D" w14:textId="77777777" w:rsidR="00C715EA" w:rsidRPr="00C800C8" w:rsidRDefault="00C715EA" w:rsidP="00C715EA">
      <w:pPr>
        <w:pStyle w:val="H23G"/>
        <w:rPr>
          <w:lang w:val="en-GB"/>
        </w:rPr>
      </w:pPr>
      <w:r w:rsidRPr="00C800C8">
        <w:rPr>
          <w:lang w:val="en-GB"/>
        </w:rPr>
        <w:tab/>
      </w:r>
      <w:r w:rsidRPr="00C800C8">
        <w:rPr>
          <w:lang w:val="en-GB"/>
        </w:rPr>
        <w:tab/>
        <w:t>Security measures during treaty body sessions</w:t>
      </w:r>
    </w:p>
    <w:p w14:paraId="4E33A122" w14:textId="77777777" w:rsidR="00C715EA" w:rsidRPr="00C800C8" w:rsidRDefault="00AC3094" w:rsidP="00AC3094">
      <w:pPr>
        <w:pStyle w:val="SingleTxtG"/>
        <w:rPr>
          <w:lang w:val="en-GB"/>
        </w:rPr>
      </w:pPr>
      <w:r w:rsidRPr="00C800C8">
        <w:rPr>
          <w:lang w:val="en-GB"/>
        </w:rPr>
        <w:t>22.</w:t>
      </w:r>
      <w:r w:rsidRPr="00C800C8">
        <w:rPr>
          <w:lang w:val="en-GB"/>
        </w:rPr>
        <w:tab/>
      </w:r>
      <w:r w:rsidR="00C715EA" w:rsidRPr="00C800C8">
        <w:rPr>
          <w:lang w:val="en-GB"/>
        </w:rPr>
        <w:t xml:space="preserve">In </w:t>
      </w:r>
      <w:r w:rsidR="00617FC5">
        <w:rPr>
          <w:lang w:val="en-GB"/>
        </w:rPr>
        <w:t>the</w:t>
      </w:r>
      <w:r w:rsidR="00C715EA" w:rsidRPr="00C800C8">
        <w:rPr>
          <w:lang w:val="en-GB"/>
        </w:rPr>
        <w:t xml:space="preserve"> case of an imminent threat or danger of violence </w:t>
      </w:r>
      <w:r w:rsidR="00617FC5">
        <w:rPr>
          <w:lang w:val="en-GB"/>
        </w:rPr>
        <w:t>during</w:t>
      </w:r>
      <w:r w:rsidR="00C715EA" w:rsidRPr="00C800C8">
        <w:rPr>
          <w:lang w:val="en-GB"/>
        </w:rPr>
        <w:t xml:space="preserve"> a treaty body session, the U</w:t>
      </w:r>
      <w:r w:rsidR="00146BD9" w:rsidRPr="00C800C8">
        <w:rPr>
          <w:lang w:val="en-GB"/>
        </w:rPr>
        <w:t xml:space="preserve">nited </w:t>
      </w:r>
      <w:r w:rsidR="00C715EA" w:rsidRPr="00C800C8">
        <w:rPr>
          <w:lang w:val="en-GB"/>
        </w:rPr>
        <w:t>N</w:t>
      </w:r>
      <w:r w:rsidR="00146BD9" w:rsidRPr="00C800C8">
        <w:rPr>
          <w:lang w:val="en-GB"/>
        </w:rPr>
        <w:t>ations</w:t>
      </w:r>
      <w:r w:rsidR="00C715EA" w:rsidRPr="00C800C8">
        <w:rPr>
          <w:lang w:val="en-GB"/>
        </w:rPr>
        <w:t xml:space="preserve"> Department of Safety and Security should be approached to take appropriate security measures.</w:t>
      </w:r>
    </w:p>
    <w:p w14:paraId="2DB96201" w14:textId="77777777" w:rsidR="00C715EA" w:rsidRPr="00C800C8" w:rsidRDefault="00C715EA" w:rsidP="00C715EA">
      <w:pPr>
        <w:pStyle w:val="H23G"/>
        <w:rPr>
          <w:lang w:val="en-GB"/>
        </w:rPr>
      </w:pPr>
      <w:r w:rsidRPr="00C800C8">
        <w:rPr>
          <w:lang w:val="en-GB"/>
        </w:rPr>
        <w:lastRenderedPageBreak/>
        <w:tab/>
      </w:r>
      <w:r w:rsidRPr="00C800C8">
        <w:rPr>
          <w:lang w:val="en-GB"/>
        </w:rPr>
        <w:tab/>
        <w:t>Contacting regional and national mechanisms</w:t>
      </w:r>
    </w:p>
    <w:p w14:paraId="3BF1933C" w14:textId="77777777" w:rsidR="00C715EA" w:rsidRPr="00C800C8" w:rsidRDefault="00AC3094" w:rsidP="00AC3094">
      <w:pPr>
        <w:pStyle w:val="SingleTxtG"/>
        <w:rPr>
          <w:lang w:val="en-GB"/>
        </w:rPr>
      </w:pPr>
      <w:r w:rsidRPr="00C800C8">
        <w:rPr>
          <w:lang w:val="en-GB"/>
        </w:rPr>
        <w:t>23.</w:t>
      </w:r>
      <w:r w:rsidRPr="00C800C8">
        <w:rPr>
          <w:lang w:val="en-GB"/>
        </w:rPr>
        <w:tab/>
      </w:r>
      <w:r w:rsidR="00C715EA" w:rsidRPr="00C800C8">
        <w:rPr>
          <w:lang w:val="en-GB"/>
        </w:rPr>
        <w:t xml:space="preserve">In addressing allegations of intimidation or reprisals, </w:t>
      </w:r>
      <w:r w:rsidR="00754929">
        <w:rPr>
          <w:lang w:val="en-GB"/>
        </w:rPr>
        <w:t xml:space="preserve">the </w:t>
      </w:r>
      <w:r w:rsidR="00C715EA" w:rsidRPr="00C800C8">
        <w:rPr>
          <w:lang w:val="en-GB"/>
        </w:rPr>
        <w:t xml:space="preserve">treaty bodies may, when appropriate, seek the cooperation of regional and national mechanisms </w:t>
      </w:r>
      <w:r w:rsidR="00617FC5">
        <w:rPr>
          <w:lang w:val="en-GB"/>
        </w:rPr>
        <w:t>that</w:t>
      </w:r>
      <w:r w:rsidR="00C715EA" w:rsidRPr="00C800C8">
        <w:rPr>
          <w:lang w:val="en-GB"/>
        </w:rPr>
        <w:t xml:space="preserve"> may be able to be of assistance.</w:t>
      </w:r>
      <w:r w:rsidR="00C57516" w:rsidRPr="00C800C8">
        <w:rPr>
          <w:lang w:val="en-GB"/>
        </w:rPr>
        <w:t xml:space="preserve"> </w:t>
      </w:r>
    </w:p>
    <w:p w14:paraId="3DAA3A97" w14:textId="77777777" w:rsidR="00C715EA" w:rsidRPr="00C800C8" w:rsidRDefault="00C715EA" w:rsidP="00C715EA">
      <w:pPr>
        <w:pStyle w:val="H23G"/>
        <w:rPr>
          <w:lang w:val="en-GB"/>
        </w:rPr>
      </w:pPr>
      <w:r w:rsidRPr="00C800C8">
        <w:rPr>
          <w:lang w:val="en-GB"/>
        </w:rPr>
        <w:tab/>
      </w:r>
      <w:r w:rsidRPr="00C800C8">
        <w:rPr>
          <w:lang w:val="en-GB"/>
        </w:rPr>
        <w:tab/>
        <w:t>Concluding observations, decisions, views, reports and follow-up requests</w:t>
      </w:r>
    </w:p>
    <w:p w14:paraId="46968BDF" w14:textId="77777777" w:rsidR="00C715EA" w:rsidRPr="00C800C8" w:rsidRDefault="00AC3094" w:rsidP="00AC3094">
      <w:pPr>
        <w:pStyle w:val="SingleTxtG"/>
        <w:rPr>
          <w:lang w:val="en-GB"/>
        </w:rPr>
      </w:pPr>
      <w:r w:rsidRPr="00C800C8">
        <w:rPr>
          <w:lang w:val="en-GB"/>
        </w:rPr>
        <w:t>24.</w:t>
      </w:r>
      <w:r w:rsidRPr="00C800C8">
        <w:rPr>
          <w:lang w:val="en-GB"/>
        </w:rPr>
        <w:tab/>
      </w:r>
      <w:r w:rsidR="00C715EA" w:rsidRPr="00C800C8">
        <w:rPr>
          <w:lang w:val="en-GB"/>
        </w:rPr>
        <w:t xml:space="preserve">When appropriate, the treaty bodies should require States parties, in their concluding observations, decisions, views, reports and follow-up requests, to take the measures necessary to protect individuals and groups from intimidation or reprisal. </w:t>
      </w:r>
    </w:p>
    <w:p w14:paraId="1880BBC3" w14:textId="77777777" w:rsidR="00C715EA" w:rsidRPr="00C800C8" w:rsidRDefault="00E7032B" w:rsidP="00754929">
      <w:pPr>
        <w:pStyle w:val="H23G"/>
        <w:rPr>
          <w:lang w:val="en-GB"/>
        </w:rPr>
      </w:pPr>
      <w:r w:rsidRPr="00C800C8">
        <w:rPr>
          <w:lang w:val="en-GB"/>
        </w:rPr>
        <w:tab/>
      </w:r>
      <w:r w:rsidRPr="00C800C8">
        <w:rPr>
          <w:lang w:val="en-GB"/>
        </w:rPr>
        <w:tab/>
      </w:r>
      <w:r w:rsidR="00C715EA" w:rsidRPr="00C800C8">
        <w:rPr>
          <w:lang w:val="en-GB"/>
        </w:rPr>
        <w:t xml:space="preserve">Reporting by treaty bodies to the General Assembly </w:t>
      </w:r>
      <w:r w:rsidR="00754929">
        <w:rPr>
          <w:lang w:val="en-GB"/>
        </w:rPr>
        <w:t>and</w:t>
      </w:r>
      <w:r w:rsidR="00C715EA" w:rsidRPr="00C800C8">
        <w:rPr>
          <w:lang w:val="en-GB"/>
        </w:rPr>
        <w:t xml:space="preserve"> the Economic and Social Council</w:t>
      </w:r>
    </w:p>
    <w:p w14:paraId="1DAFE1D6" w14:textId="77777777" w:rsidR="00C715EA" w:rsidRPr="00C800C8" w:rsidRDefault="00AC3094" w:rsidP="00AC3094">
      <w:pPr>
        <w:pStyle w:val="SingleTxtG"/>
        <w:rPr>
          <w:lang w:val="en-GB"/>
        </w:rPr>
      </w:pPr>
      <w:r w:rsidRPr="00C800C8">
        <w:rPr>
          <w:lang w:val="en-GB"/>
        </w:rPr>
        <w:t>25.</w:t>
      </w:r>
      <w:r w:rsidRPr="00C800C8">
        <w:rPr>
          <w:lang w:val="en-GB"/>
        </w:rPr>
        <w:tab/>
      </w:r>
      <w:r w:rsidR="00C715EA" w:rsidRPr="00C800C8">
        <w:rPr>
          <w:lang w:val="en-GB"/>
        </w:rPr>
        <w:t>The treaty bodies should, as appropriate, include information on cases of intimidation or reprisals in their annual or biennial reports.</w:t>
      </w:r>
    </w:p>
    <w:p w14:paraId="7F7798D8" w14:textId="77777777" w:rsidR="00C715EA" w:rsidRPr="00C800C8" w:rsidRDefault="00C715EA" w:rsidP="00C715EA">
      <w:pPr>
        <w:pStyle w:val="H23G"/>
        <w:rPr>
          <w:lang w:val="en-GB"/>
        </w:rPr>
      </w:pPr>
      <w:r w:rsidRPr="00C800C8">
        <w:rPr>
          <w:lang w:val="en-GB"/>
        </w:rPr>
        <w:tab/>
      </w:r>
      <w:r w:rsidRPr="00C800C8">
        <w:rPr>
          <w:lang w:val="en-GB"/>
        </w:rPr>
        <w:tab/>
        <w:t>Posting on the Internet</w:t>
      </w:r>
    </w:p>
    <w:p w14:paraId="2A2F88F6" w14:textId="77777777" w:rsidR="00C715EA" w:rsidRPr="00C800C8" w:rsidRDefault="00AC3094" w:rsidP="00AC3094">
      <w:pPr>
        <w:pStyle w:val="SingleTxtG"/>
        <w:rPr>
          <w:lang w:val="en-GB"/>
        </w:rPr>
      </w:pPr>
      <w:r w:rsidRPr="00C800C8">
        <w:rPr>
          <w:lang w:val="en-GB"/>
        </w:rPr>
        <w:t>26.</w:t>
      </w:r>
      <w:r w:rsidRPr="00C800C8">
        <w:rPr>
          <w:lang w:val="en-GB"/>
        </w:rPr>
        <w:tab/>
      </w:r>
      <w:r w:rsidR="00C715EA" w:rsidRPr="00C800C8">
        <w:rPr>
          <w:lang w:val="en-GB"/>
        </w:rPr>
        <w:t xml:space="preserve">The treaty bodies may, as appropriate, make information regarding allegations of reprisals, including </w:t>
      </w:r>
      <w:r w:rsidR="00754929">
        <w:rPr>
          <w:lang w:val="en-GB"/>
        </w:rPr>
        <w:t>relevant communication</w:t>
      </w:r>
      <w:r w:rsidR="00C715EA" w:rsidRPr="00C800C8">
        <w:rPr>
          <w:lang w:val="en-GB"/>
        </w:rPr>
        <w:t xml:space="preserve"> with States parties, public by posting </w:t>
      </w:r>
      <w:r w:rsidR="00754929">
        <w:rPr>
          <w:lang w:val="en-GB"/>
        </w:rPr>
        <w:t>it</w:t>
      </w:r>
      <w:r w:rsidR="00C715EA" w:rsidRPr="00C800C8">
        <w:rPr>
          <w:lang w:val="en-GB"/>
        </w:rPr>
        <w:t xml:space="preserve"> on the treaty body web page of the OHCHR website.</w:t>
      </w:r>
    </w:p>
    <w:p w14:paraId="7CA60DD2" w14:textId="77777777" w:rsidR="00C715EA" w:rsidRPr="00C800C8" w:rsidRDefault="00C715EA" w:rsidP="00C715EA">
      <w:pPr>
        <w:pStyle w:val="H23G"/>
        <w:rPr>
          <w:lang w:val="en-GB"/>
        </w:rPr>
      </w:pPr>
      <w:r w:rsidRPr="00C800C8">
        <w:rPr>
          <w:lang w:val="en-GB"/>
        </w:rPr>
        <w:tab/>
      </w:r>
      <w:r w:rsidRPr="00C800C8">
        <w:rPr>
          <w:lang w:val="en-GB"/>
        </w:rPr>
        <w:tab/>
        <w:t>Use of the media</w:t>
      </w:r>
    </w:p>
    <w:p w14:paraId="096D23EF" w14:textId="77777777" w:rsidR="00C715EA" w:rsidRPr="00C800C8" w:rsidRDefault="00AC3094" w:rsidP="00AC3094">
      <w:pPr>
        <w:pStyle w:val="SingleTxtG"/>
        <w:rPr>
          <w:lang w:val="en-GB"/>
        </w:rPr>
      </w:pPr>
      <w:r w:rsidRPr="00C800C8">
        <w:rPr>
          <w:lang w:val="en-GB"/>
        </w:rPr>
        <w:t>27.</w:t>
      </w:r>
      <w:r w:rsidRPr="00C800C8">
        <w:rPr>
          <w:lang w:val="en-GB"/>
        </w:rPr>
        <w:tab/>
      </w:r>
      <w:r w:rsidR="00C715EA" w:rsidRPr="00C800C8">
        <w:rPr>
          <w:lang w:val="en-GB"/>
        </w:rPr>
        <w:t>The treaty bodies may, when appropriate, issue a public statement on specific incidents or generali</w:t>
      </w:r>
      <w:r w:rsidR="00754929">
        <w:rPr>
          <w:lang w:val="en-GB"/>
        </w:rPr>
        <w:t>z</w:t>
      </w:r>
      <w:r w:rsidR="00C715EA" w:rsidRPr="00C800C8">
        <w:rPr>
          <w:lang w:val="en-GB"/>
        </w:rPr>
        <w:t xml:space="preserve">ed practices of intimidation or reprisal and circulate it to international and national media outlets, or make comments to the media and on social media. </w:t>
      </w:r>
    </w:p>
    <w:p w14:paraId="3B083801" w14:textId="77777777" w:rsidR="00C715EA" w:rsidRPr="00C800C8" w:rsidRDefault="00E7032B" w:rsidP="00E33BFF">
      <w:pPr>
        <w:pStyle w:val="H23G"/>
        <w:rPr>
          <w:lang w:val="en-GB"/>
        </w:rPr>
      </w:pPr>
      <w:r w:rsidRPr="00C800C8">
        <w:rPr>
          <w:lang w:val="en-GB"/>
        </w:rPr>
        <w:tab/>
      </w:r>
      <w:r w:rsidRPr="00C800C8">
        <w:rPr>
          <w:lang w:val="en-GB"/>
        </w:rPr>
        <w:tab/>
      </w:r>
      <w:r w:rsidR="00C715EA" w:rsidRPr="00C800C8">
        <w:rPr>
          <w:lang w:val="en-GB"/>
        </w:rPr>
        <w:t>Requesting assistance from the United Nations High Commissioner for Human Rights</w:t>
      </w:r>
    </w:p>
    <w:p w14:paraId="45595056" w14:textId="77777777" w:rsidR="00C715EA" w:rsidRPr="00C800C8" w:rsidRDefault="00AC3094" w:rsidP="00AC3094">
      <w:pPr>
        <w:pStyle w:val="SingleTxtG"/>
        <w:rPr>
          <w:lang w:val="en-GB"/>
        </w:rPr>
      </w:pPr>
      <w:r w:rsidRPr="00C800C8">
        <w:rPr>
          <w:lang w:val="en-GB"/>
        </w:rPr>
        <w:t>28.</w:t>
      </w:r>
      <w:r w:rsidRPr="00C800C8">
        <w:rPr>
          <w:lang w:val="en-GB"/>
        </w:rPr>
        <w:tab/>
      </w:r>
      <w:r w:rsidR="00C715EA" w:rsidRPr="00C800C8">
        <w:rPr>
          <w:lang w:val="en-GB"/>
        </w:rPr>
        <w:t>The treaty bodies may request the assistance of the United Nations High Commissioner for Human Rights with a view to obtaining the cessation of alleged acts of intimidation or reprisals, which may include an investigation in accordance with international human rights standards.</w:t>
      </w:r>
    </w:p>
    <w:p w14:paraId="0E6BC225" w14:textId="77777777" w:rsidR="00C715EA" w:rsidRPr="00C800C8" w:rsidRDefault="00E7032B" w:rsidP="00E33BFF">
      <w:pPr>
        <w:pStyle w:val="H23G"/>
        <w:rPr>
          <w:lang w:val="en-GB"/>
        </w:rPr>
      </w:pPr>
      <w:r w:rsidRPr="00C800C8">
        <w:rPr>
          <w:lang w:val="en-GB"/>
        </w:rPr>
        <w:tab/>
      </w:r>
      <w:r w:rsidRPr="00C800C8">
        <w:rPr>
          <w:lang w:val="en-GB"/>
        </w:rPr>
        <w:tab/>
      </w:r>
      <w:r w:rsidR="00C715EA" w:rsidRPr="00C800C8">
        <w:rPr>
          <w:lang w:val="en-GB"/>
        </w:rPr>
        <w:t xml:space="preserve">Coordination with other procedures </w:t>
      </w:r>
    </w:p>
    <w:p w14:paraId="5703C32E" w14:textId="77777777" w:rsidR="00C715EA" w:rsidRPr="00C800C8" w:rsidRDefault="00AC3094" w:rsidP="00AC3094">
      <w:pPr>
        <w:pStyle w:val="SingleTxtG"/>
        <w:rPr>
          <w:lang w:val="en-GB"/>
        </w:rPr>
      </w:pPr>
      <w:r w:rsidRPr="00C800C8">
        <w:rPr>
          <w:lang w:val="en-GB"/>
        </w:rPr>
        <w:t>29.</w:t>
      </w:r>
      <w:r w:rsidRPr="00C800C8">
        <w:rPr>
          <w:lang w:val="en-GB"/>
        </w:rPr>
        <w:tab/>
      </w:r>
      <w:r w:rsidR="00C715EA" w:rsidRPr="00C800C8">
        <w:rPr>
          <w:lang w:val="en-GB"/>
        </w:rPr>
        <w:t xml:space="preserve">When allegations of intimidation or reprisals are received, in addition to the action taken by the treaty body itself, the </w:t>
      </w:r>
      <w:r w:rsidR="000E47F7">
        <w:rPr>
          <w:lang w:val="en-GB"/>
        </w:rPr>
        <w:t>s</w:t>
      </w:r>
      <w:r w:rsidR="00C715EA" w:rsidRPr="00C800C8">
        <w:rPr>
          <w:lang w:val="en-GB"/>
        </w:rPr>
        <w:t>ecretariat also may inform individuals or groups making such allegations that they may submit an urgent communication to the special procedures mandate holders of the Human Rights Council, including the Special Rapporteur on the situation of human rights defenders. The treaty bodies can also refer such allegations to other mechanisms and procedures, when appropriate, in order to encourage an efficient, effective and coordinated response.</w:t>
      </w:r>
    </w:p>
    <w:p w14:paraId="4663AF53" w14:textId="77777777" w:rsidR="00C715EA" w:rsidRPr="00C800C8" w:rsidRDefault="00C715EA" w:rsidP="00C715EA">
      <w:pPr>
        <w:pStyle w:val="H23G"/>
        <w:rPr>
          <w:lang w:val="en-GB"/>
        </w:rPr>
      </w:pPr>
      <w:r w:rsidRPr="00C800C8">
        <w:rPr>
          <w:lang w:val="en-GB"/>
        </w:rPr>
        <w:tab/>
      </w:r>
      <w:r w:rsidRPr="00C800C8">
        <w:rPr>
          <w:lang w:val="en-GB"/>
        </w:rPr>
        <w:tab/>
        <w:t>Follow-up</w:t>
      </w:r>
    </w:p>
    <w:p w14:paraId="7949E767" w14:textId="77777777" w:rsidR="00C715EA" w:rsidRPr="00C800C8" w:rsidRDefault="00AC3094" w:rsidP="00AC3094">
      <w:pPr>
        <w:pStyle w:val="SingleTxtG"/>
        <w:rPr>
          <w:lang w:val="en-GB"/>
        </w:rPr>
      </w:pPr>
      <w:r w:rsidRPr="00C800C8">
        <w:rPr>
          <w:lang w:val="en-GB"/>
        </w:rPr>
        <w:t>30.</w:t>
      </w:r>
      <w:r w:rsidRPr="00C800C8">
        <w:rPr>
          <w:lang w:val="en-GB"/>
        </w:rPr>
        <w:tab/>
      </w:r>
      <w:r w:rsidR="00C715EA" w:rsidRPr="00C800C8">
        <w:rPr>
          <w:lang w:val="en-GB"/>
        </w:rPr>
        <w:t xml:space="preserve">The treaty bodies may, as appropriate, request the United Nations </w:t>
      </w:r>
      <w:r w:rsidR="00754929">
        <w:rPr>
          <w:lang w:val="en-GB"/>
        </w:rPr>
        <w:t>r</w:t>
      </w:r>
      <w:r w:rsidR="00C715EA" w:rsidRPr="00C800C8">
        <w:rPr>
          <w:lang w:val="en-GB"/>
        </w:rPr>
        <w:t xml:space="preserve">esident </w:t>
      </w:r>
      <w:r w:rsidR="00754929">
        <w:rPr>
          <w:lang w:val="en-GB"/>
        </w:rPr>
        <w:t>c</w:t>
      </w:r>
      <w:r w:rsidR="00C715EA" w:rsidRPr="00C800C8">
        <w:rPr>
          <w:lang w:val="en-GB"/>
        </w:rPr>
        <w:t xml:space="preserve">oordinator, the United Nations country team, United Nations agencies, peacekeeping operations or any other appropriate agency or representation to take steps in support of individuals or groups who have been intimidated or are at risk of reprisal for seeking to cooperate or cooperating with the treaty bodies. </w:t>
      </w:r>
    </w:p>
    <w:p w14:paraId="233F5BF9" w14:textId="77777777" w:rsidR="00C715EA" w:rsidRPr="00C800C8" w:rsidRDefault="003D0FE3" w:rsidP="00E33BFF">
      <w:pPr>
        <w:pStyle w:val="H23G"/>
        <w:rPr>
          <w:lang w:val="en-GB"/>
        </w:rPr>
      </w:pPr>
      <w:r w:rsidRPr="00C800C8">
        <w:rPr>
          <w:lang w:val="en-GB"/>
        </w:rPr>
        <w:lastRenderedPageBreak/>
        <w:tab/>
      </w:r>
      <w:r w:rsidRPr="00C800C8">
        <w:rPr>
          <w:lang w:val="en-GB"/>
        </w:rPr>
        <w:tab/>
      </w:r>
      <w:r w:rsidR="00C715EA" w:rsidRPr="00C800C8">
        <w:rPr>
          <w:lang w:val="en-GB"/>
        </w:rPr>
        <w:t>Reference to political organs of the United Nations</w:t>
      </w:r>
    </w:p>
    <w:p w14:paraId="50B8152E" w14:textId="77777777" w:rsidR="00C715EA" w:rsidRPr="00C800C8" w:rsidRDefault="00AC3094" w:rsidP="00AC3094">
      <w:pPr>
        <w:pStyle w:val="SingleTxtG"/>
        <w:rPr>
          <w:lang w:val="en-GB"/>
        </w:rPr>
      </w:pPr>
      <w:r w:rsidRPr="00C800C8">
        <w:rPr>
          <w:lang w:val="en-GB"/>
        </w:rPr>
        <w:t>31.</w:t>
      </w:r>
      <w:r w:rsidRPr="00C800C8">
        <w:rPr>
          <w:lang w:val="en-GB"/>
        </w:rPr>
        <w:tab/>
      </w:r>
      <w:r w:rsidR="00C715EA" w:rsidRPr="00C800C8">
        <w:rPr>
          <w:lang w:val="en-GB"/>
        </w:rPr>
        <w:t xml:space="preserve">When appropriate, </w:t>
      </w:r>
      <w:r w:rsidR="00754929">
        <w:rPr>
          <w:lang w:val="en-GB"/>
        </w:rPr>
        <w:t>the t</w:t>
      </w:r>
      <w:r w:rsidR="00C715EA" w:rsidRPr="00C800C8">
        <w:rPr>
          <w:lang w:val="en-GB"/>
        </w:rPr>
        <w:t xml:space="preserve">reaty </w:t>
      </w:r>
      <w:r w:rsidR="00754929">
        <w:rPr>
          <w:lang w:val="en-GB"/>
        </w:rPr>
        <w:t>b</w:t>
      </w:r>
      <w:r w:rsidR="00C715EA" w:rsidRPr="00C800C8">
        <w:rPr>
          <w:lang w:val="en-GB"/>
        </w:rPr>
        <w:t>odies may seek to raise issues relating to intimidation or reprisals before the Human Rights Council and other political organs of the United Nations.</w:t>
      </w:r>
    </w:p>
    <w:p w14:paraId="4111689E" w14:textId="77777777" w:rsidR="00C715EA" w:rsidRPr="00C800C8" w:rsidRDefault="00C715EA" w:rsidP="003460B4">
      <w:pPr>
        <w:pStyle w:val="HChG"/>
        <w:rPr>
          <w:szCs w:val="28"/>
          <w:lang w:val="en-GB"/>
        </w:rPr>
      </w:pPr>
      <w:r w:rsidRPr="00C800C8">
        <w:rPr>
          <w:szCs w:val="28"/>
          <w:lang w:val="en-GB"/>
        </w:rPr>
        <w:tab/>
      </w:r>
      <w:r w:rsidRPr="00C800C8">
        <w:rPr>
          <w:lang w:val="en-GB"/>
        </w:rPr>
        <w:t>IV.</w:t>
      </w:r>
      <w:r w:rsidRPr="00C800C8">
        <w:rPr>
          <w:lang w:val="en-GB"/>
        </w:rPr>
        <w:tab/>
        <w:t xml:space="preserve">Monitoring </w:t>
      </w:r>
      <w:r w:rsidR="00146BD9" w:rsidRPr="00C800C8">
        <w:rPr>
          <w:lang w:val="en-GB"/>
        </w:rPr>
        <w:t xml:space="preserve">the implementation </w:t>
      </w:r>
      <w:r w:rsidRPr="00C800C8">
        <w:rPr>
          <w:lang w:val="en-GB"/>
        </w:rPr>
        <w:t>of the Guidelines</w:t>
      </w:r>
      <w:r w:rsidRPr="00C800C8">
        <w:rPr>
          <w:szCs w:val="28"/>
          <w:lang w:val="en-GB"/>
        </w:rPr>
        <w:t xml:space="preserve"> </w:t>
      </w:r>
    </w:p>
    <w:p w14:paraId="53E7463F" w14:textId="77777777" w:rsidR="00C715EA" w:rsidRPr="00C800C8" w:rsidRDefault="00AC3094" w:rsidP="00AC3094">
      <w:pPr>
        <w:pStyle w:val="SingleTxtG"/>
        <w:rPr>
          <w:lang w:val="en-GB"/>
        </w:rPr>
      </w:pPr>
      <w:r w:rsidRPr="00C800C8">
        <w:rPr>
          <w:lang w:val="en-GB"/>
        </w:rPr>
        <w:t>32.</w:t>
      </w:r>
      <w:r w:rsidRPr="00C800C8">
        <w:rPr>
          <w:lang w:val="en-GB"/>
        </w:rPr>
        <w:tab/>
      </w:r>
      <w:r w:rsidR="00C715EA" w:rsidRPr="00C800C8">
        <w:rPr>
          <w:lang w:val="en-GB"/>
        </w:rPr>
        <w:t xml:space="preserve">Rapporteurs or focal points on intimidation or reprisals should be responsible for reporting to </w:t>
      </w:r>
      <w:r w:rsidR="000E47F7">
        <w:rPr>
          <w:lang w:val="en-GB"/>
        </w:rPr>
        <w:t xml:space="preserve">their </w:t>
      </w:r>
      <w:r w:rsidR="00C715EA" w:rsidRPr="00C800C8">
        <w:rPr>
          <w:lang w:val="en-GB"/>
        </w:rPr>
        <w:t xml:space="preserve">committees on action taken in relation to fear or allegations of intimidation or reprisals. </w:t>
      </w:r>
    </w:p>
    <w:p w14:paraId="6A7EB859" w14:textId="77777777" w:rsidR="00C715EA" w:rsidRPr="00C800C8" w:rsidRDefault="00AC3094" w:rsidP="00AC3094">
      <w:pPr>
        <w:pStyle w:val="SingleTxtG"/>
        <w:rPr>
          <w:lang w:val="en-GB"/>
        </w:rPr>
      </w:pPr>
      <w:r w:rsidRPr="00C800C8">
        <w:rPr>
          <w:lang w:val="en-GB"/>
        </w:rPr>
        <w:t>33.</w:t>
      </w:r>
      <w:r w:rsidRPr="00C800C8">
        <w:rPr>
          <w:lang w:val="en-GB"/>
        </w:rPr>
        <w:tab/>
      </w:r>
      <w:r w:rsidR="00C715EA" w:rsidRPr="00C800C8">
        <w:rPr>
          <w:lang w:val="en-GB"/>
        </w:rPr>
        <w:t xml:space="preserve">The annual meeting of </w:t>
      </w:r>
      <w:r w:rsidR="00754929">
        <w:rPr>
          <w:lang w:val="en-GB"/>
        </w:rPr>
        <w:t xml:space="preserve">the </w:t>
      </w:r>
      <w:r w:rsidR="007557F3">
        <w:rPr>
          <w:lang w:val="en-GB"/>
        </w:rPr>
        <w:t>C</w:t>
      </w:r>
      <w:r w:rsidR="00754929" w:rsidRPr="00C800C8">
        <w:rPr>
          <w:lang w:val="en-GB"/>
        </w:rPr>
        <w:t>hairs</w:t>
      </w:r>
      <w:r w:rsidR="00754929">
        <w:rPr>
          <w:lang w:val="en-GB"/>
        </w:rPr>
        <w:t xml:space="preserve"> of the human rights </w:t>
      </w:r>
      <w:r w:rsidR="00C715EA" w:rsidRPr="00C800C8">
        <w:rPr>
          <w:lang w:val="en-GB"/>
        </w:rPr>
        <w:t>treaty bod</w:t>
      </w:r>
      <w:r w:rsidR="00754929">
        <w:rPr>
          <w:lang w:val="en-GB"/>
        </w:rPr>
        <w:t>ies</w:t>
      </w:r>
      <w:r w:rsidR="00C715EA" w:rsidRPr="00C800C8">
        <w:rPr>
          <w:lang w:val="en-GB"/>
        </w:rPr>
        <w:t xml:space="preserve"> should have a standing agenda item on reprisals, under which each Chair </w:t>
      </w:r>
      <w:r w:rsidR="00C715EA" w:rsidRPr="007327C3">
        <w:rPr>
          <w:lang w:val="en-GB"/>
        </w:rPr>
        <w:t xml:space="preserve">should inform the meeting of recent developments and practice relating to intimidation or reprisals within their </w:t>
      </w:r>
      <w:r w:rsidR="00754929" w:rsidRPr="007327C3">
        <w:rPr>
          <w:lang w:val="en-GB"/>
        </w:rPr>
        <w:t>respective</w:t>
      </w:r>
      <w:r w:rsidR="007327C3" w:rsidRPr="007327C3">
        <w:rPr>
          <w:lang w:val="en-GB"/>
        </w:rPr>
        <w:t xml:space="preserve"> c</w:t>
      </w:r>
      <w:r w:rsidR="00C715EA" w:rsidRPr="007327C3">
        <w:rPr>
          <w:lang w:val="en-GB"/>
        </w:rPr>
        <w:t xml:space="preserve">ommittees and exchange views. Chairs may also establish links and consult between themselves </w:t>
      </w:r>
      <w:r w:rsidR="007327C3">
        <w:rPr>
          <w:lang w:val="en-GB"/>
        </w:rPr>
        <w:t xml:space="preserve">between </w:t>
      </w:r>
      <w:r w:rsidR="00C715EA" w:rsidRPr="007327C3">
        <w:rPr>
          <w:lang w:val="en-GB"/>
        </w:rPr>
        <w:t>session</w:t>
      </w:r>
      <w:r w:rsidR="007327C3">
        <w:rPr>
          <w:lang w:val="en-GB"/>
        </w:rPr>
        <w:t>s</w:t>
      </w:r>
      <w:r w:rsidR="00C715EA" w:rsidRPr="007327C3">
        <w:rPr>
          <w:lang w:val="en-GB"/>
        </w:rPr>
        <w:t>, when appropriate, in cases of</w:t>
      </w:r>
      <w:r w:rsidR="00C715EA" w:rsidRPr="00C800C8">
        <w:rPr>
          <w:lang w:val="en-GB"/>
        </w:rPr>
        <w:t xml:space="preserve"> necessity.</w:t>
      </w:r>
    </w:p>
    <w:p w14:paraId="1A7329E4" w14:textId="77777777" w:rsidR="00C715EA" w:rsidRPr="00C800C8" w:rsidRDefault="00C715EA" w:rsidP="003460B4">
      <w:pPr>
        <w:pStyle w:val="HChG"/>
        <w:rPr>
          <w:lang w:val="en-GB"/>
        </w:rPr>
      </w:pPr>
      <w:r w:rsidRPr="00C800C8">
        <w:rPr>
          <w:lang w:val="en-GB"/>
        </w:rPr>
        <w:tab/>
        <w:t>V.</w:t>
      </w:r>
      <w:r w:rsidRPr="00C800C8">
        <w:rPr>
          <w:lang w:val="en-GB"/>
        </w:rPr>
        <w:tab/>
        <w:t xml:space="preserve">Dissemination of the Guidelines </w:t>
      </w:r>
    </w:p>
    <w:p w14:paraId="4F1AD775" w14:textId="77777777" w:rsidR="00C715EA" w:rsidRPr="00C800C8" w:rsidRDefault="00AC3094" w:rsidP="00AC3094">
      <w:pPr>
        <w:pStyle w:val="SingleTxtG"/>
        <w:rPr>
          <w:lang w:val="en-GB"/>
        </w:rPr>
      </w:pPr>
      <w:r w:rsidRPr="00C800C8">
        <w:rPr>
          <w:lang w:val="en-GB"/>
        </w:rPr>
        <w:t>34.</w:t>
      </w:r>
      <w:r w:rsidRPr="00C800C8">
        <w:rPr>
          <w:lang w:val="en-GB"/>
        </w:rPr>
        <w:tab/>
      </w:r>
      <w:r w:rsidR="00C715EA" w:rsidRPr="00C800C8">
        <w:rPr>
          <w:lang w:val="en-GB"/>
        </w:rPr>
        <w:t xml:space="preserve">The </w:t>
      </w:r>
      <w:r w:rsidR="00F11F3E">
        <w:rPr>
          <w:lang w:val="en-GB"/>
        </w:rPr>
        <w:t>G</w:t>
      </w:r>
      <w:r w:rsidR="00C715EA" w:rsidRPr="00C800C8">
        <w:rPr>
          <w:lang w:val="en-GB"/>
        </w:rPr>
        <w:t xml:space="preserve">uidelines against </w:t>
      </w:r>
      <w:r w:rsidR="006A3E9F">
        <w:rPr>
          <w:lang w:val="en-GB"/>
        </w:rPr>
        <w:t>I</w:t>
      </w:r>
      <w:r w:rsidR="00C715EA" w:rsidRPr="00C800C8">
        <w:rPr>
          <w:lang w:val="en-GB"/>
        </w:rPr>
        <w:t xml:space="preserve">ntimidation or </w:t>
      </w:r>
      <w:r w:rsidR="006A3E9F">
        <w:rPr>
          <w:lang w:val="en-GB"/>
        </w:rPr>
        <w:t>R</w:t>
      </w:r>
      <w:r w:rsidR="00C715EA" w:rsidRPr="00C800C8">
        <w:rPr>
          <w:lang w:val="en-GB"/>
        </w:rPr>
        <w:t xml:space="preserve">eprisals should be posted on the web pages of all treaty bodies and on the web page dedicated to the annual meetings of the </w:t>
      </w:r>
      <w:r w:rsidR="00E00D15">
        <w:rPr>
          <w:lang w:val="en-GB"/>
        </w:rPr>
        <w:t>C</w:t>
      </w:r>
      <w:r w:rsidR="007327C3" w:rsidRPr="00C800C8">
        <w:rPr>
          <w:lang w:val="en-GB"/>
        </w:rPr>
        <w:t>hairs</w:t>
      </w:r>
      <w:r w:rsidR="007327C3">
        <w:rPr>
          <w:lang w:val="en-GB"/>
        </w:rPr>
        <w:t xml:space="preserve"> of the human rights </w:t>
      </w:r>
      <w:r w:rsidR="00C715EA" w:rsidRPr="00C800C8">
        <w:rPr>
          <w:lang w:val="en-GB"/>
        </w:rPr>
        <w:t>treaty bod</w:t>
      </w:r>
      <w:r w:rsidR="007327C3">
        <w:rPr>
          <w:lang w:val="en-GB"/>
        </w:rPr>
        <w:t>ies</w:t>
      </w:r>
      <w:r w:rsidR="00C715EA" w:rsidRPr="00C800C8">
        <w:rPr>
          <w:lang w:val="en-GB"/>
        </w:rPr>
        <w:t xml:space="preserve"> on the OHCHR website</w:t>
      </w:r>
      <w:r w:rsidR="007327C3">
        <w:rPr>
          <w:lang w:val="en-GB"/>
        </w:rPr>
        <w:t>,</w:t>
      </w:r>
      <w:r w:rsidR="00C57516" w:rsidRPr="00C800C8">
        <w:rPr>
          <w:lang w:val="en-GB"/>
        </w:rPr>
        <w:t xml:space="preserve"> </w:t>
      </w:r>
      <w:r w:rsidR="00C715EA" w:rsidRPr="00C800C8">
        <w:rPr>
          <w:lang w:val="en-GB"/>
        </w:rPr>
        <w:t xml:space="preserve">in accessible formats. </w:t>
      </w:r>
    </w:p>
    <w:p w14:paraId="53C89638" w14:textId="77777777" w:rsidR="00C715EA" w:rsidRPr="00C800C8" w:rsidRDefault="00AC3094" w:rsidP="00AC3094">
      <w:pPr>
        <w:pStyle w:val="SingleTxtG"/>
        <w:rPr>
          <w:lang w:val="en-GB"/>
        </w:rPr>
      </w:pPr>
      <w:r w:rsidRPr="00C800C8">
        <w:rPr>
          <w:lang w:val="en-GB"/>
        </w:rPr>
        <w:t>35.</w:t>
      </w:r>
      <w:r w:rsidRPr="00C800C8">
        <w:rPr>
          <w:lang w:val="en-GB"/>
        </w:rPr>
        <w:tab/>
      </w:r>
      <w:r w:rsidR="00C715EA" w:rsidRPr="00C800C8">
        <w:rPr>
          <w:lang w:val="en-GB"/>
        </w:rPr>
        <w:t>The Chairs call for the widest possible dissemination of these Guidelines by the U</w:t>
      </w:r>
      <w:r w:rsidR="00DB31F7">
        <w:rPr>
          <w:lang w:val="en-GB"/>
        </w:rPr>
        <w:t xml:space="preserve">nited </w:t>
      </w:r>
      <w:r w:rsidR="00C715EA" w:rsidRPr="00C800C8">
        <w:rPr>
          <w:lang w:val="en-GB"/>
        </w:rPr>
        <w:t>N</w:t>
      </w:r>
      <w:r w:rsidR="00DB31F7">
        <w:rPr>
          <w:lang w:val="en-GB"/>
        </w:rPr>
        <w:t>ations</w:t>
      </w:r>
      <w:r w:rsidR="00C715EA" w:rsidRPr="00C800C8">
        <w:rPr>
          <w:lang w:val="en-GB"/>
        </w:rPr>
        <w:t xml:space="preserve"> and other actors among the executive, judicial and legislative authorities of States, national human rights institutions, national preventive mechanisms, civil society and non-governmental organizations operating in </w:t>
      </w:r>
      <w:r w:rsidR="007327C3">
        <w:rPr>
          <w:lang w:val="en-GB"/>
        </w:rPr>
        <w:t>each</w:t>
      </w:r>
      <w:r w:rsidR="00C715EA" w:rsidRPr="00C800C8">
        <w:rPr>
          <w:lang w:val="en-GB"/>
        </w:rPr>
        <w:t xml:space="preserve"> country and among the general public</w:t>
      </w:r>
      <w:r w:rsidR="007327C3">
        <w:rPr>
          <w:lang w:val="en-GB"/>
        </w:rPr>
        <w:t>,</w:t>
      </w:r>
      <w:r w:rsidR="00C715EA" w:rsidRPr="00C800C8">
        <w:rPr>
          <w:lang w:val="en-GB"/>
        </w:rPr>
        <w:t xml:space="preserve"> in accessible formats. </w:t>
      </w:r>
    </w:p>
    <w:p w14:paraId="5137BFB4" w14:textId="77777777" w:rsidR="00C715EA" w:rsidRPr="00C800C8" w:rsidRDefault="00C715EA" w:rsidP="00C715EA">
      <w:pPr>
        <w:pStyle w:val="HChG"/>
        <w:keepNext w:val="0"/>
        <w:keepLines w:val="0"/>
        <w:spacing w:before="240" w:after="0" w:line="240" w:lineRule="atLeast"/>
        <w:ind w:firstLine="0"/>
        <w:jc w:val="center"/>
        <w:rPr>
          <w:b w:val="0"/>
          <w:sz w:val="20"/>
          <w:u w:val="single"/>
          <w:lang w:val="en-GB"/>
        </w:rPr>
      </w:pPr>
      <w:r w:rsidRPr="00C800C8">
        <w:rPr>
          <w:b w:val="0"/>
          <w:u w:val="single"/>
          <w:lang w:val="en-GB"/>
        </w:rPr>
        <w:tab/>
      </w:r>
      <w:r w:rsidRPr="00C800C8">
        <w:rPr>
          <w:b w:val="0"/>
          <w:u w:val="single"/>
          <w:lang w:val="en-GB"/>
        </w:rPr>
        <w:tab/>
      </w:r>
      <w:r w:rsidRPr="00C800C8">
        <w:rPr>
          <w:b w:val="0"/>
          <w:u w:val="single"/>
          <w:lang w:val="en-GB"/>
        </w:rPr>
        <w:tab/>
      </w:r>
    </w:p>
    <w:p w14:paraId="62C242AA" w14:textId="77777777" w:rsidR="00C56494" w:rsidRPr="00C800C8" w:rsidRDefault="00C56494" w:rsidP="00F11F3E">
      <w:pPr>
        <w:pStyle w:val="SingleTxtG"/>
        <w:rPr>
          <w:b/>
          <w:lang w:val="en-GB"/>
        </w:rPr>
      </w:pPr>
    </w:p>
    <w:sectPr w:rsidR="00C56494" w:rsidRPr="00C800C8" w:rsidSect="00CA157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674E" w14:textId="77777777" w:rsidR="00E00583" w:rsidRDefault="00E00583"/>
  </w:endnote>
  <w:endnote w:type="continuationSeparator" w:id="0">
    <w:p w14:paraId="55FD6FDB" w14:textId="77777777" w:rsidR="00E00583" w:rsidRDefault="00E00583"/>
  </w:endnote>
  <w:endnote w:type="continuationNotice" w:id="1">
    <w:p w14:paraId="3223FF4E" w14:textId="77777777" w:rsidR="00E00583" w:rsidRDefault="00E00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0000000000000000000"/>
    <w:charset w:val="00"/>
    <w:family w:val="roman"/>
    <w:notTrueType/>
    <w:pitch w:val="default"/>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AD5C" w14:textId="77777777" w:rsidR="00460D4A" w:rsidRPr="002E49C5" w:rsidRDefault="00460D4A" w:rsidP="00685EB1">
    <w:pPr>
      <w:pStyle w:val="Footer"/>
      <w:tabs>
        <w:tab w:val="right" w:pos="9638"/>
      </w:tabs>
    </w:pPr>
    <w:r w:rsidRPr="002E49C5">
      <w:rPr>
        <w:b/>
        <w:sz w:val="18"/>
      </w:rPr>
      <w:fldChar w:fldCharType="begin"/>
    </w:r>
    <w:r w:rsidRPr="002E49C5">
      <w:rPr>
        <w:b/>
        <w:sz w:val="18"/>
      </w:rPr>
      <w:instrText xml:space="preserve"> PAGE  \* MERGEFORMAT </w:instrText>
    </w:r>
    <w:r w:rsidRPr="002E49C5">
      <w:rPr>
        <w:b/>
        <w:sz w:val="18"/>
      </w:rPr>
      <w:fldChar w:fldCharType="separate"/>
    </w:r>
    <w:r w:rsidR="00DE3252">
      <w:rPr>
        <w:b/>
        <w:noProof/>
        <w:sz w:val="18"/>
      </w:rPr>
      <w:t>2</w:t>
    </w:r>
    <w:r w:rsidRPr="002E49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6982" w14:textId="77777777" w:rsidR="00460D4A" w:rsidRPr="002E49C5" w:rsidRDefault="00460D4A" w:rsidP="00685EB1">
    <w:pPr>
      <w:pStyle w:val="Footer"/>
      <w:tabs>
        <w:tab w:val="right" w:pos="9638"/>
      </w:tabs>
      <w:rPr>
        <w:b/>
        <w:sz w:val="18"/>
      </w:rPr>
    </w:pPr>
    <w:r>
      <w:tab/>
    </w:r>
    <w:r w:rsidRPr="002E49C5">
      <w:rPr>
        <w:b/>
        <w:sz w:val="18"/>
      </w:rPr>
      <w:fldChar w:fldCharType="begin"/>
    </w:r>
    <w:r w:rsidRPr="002E49C5">
      <w:rPr>
        <w:b/>
        <w:sz w:val="18"/>
      </w:rPr>
      <w:instrText xml:space="preserve"> PAGE  \* MERGEFORMAT </w:instrText>
    </w:r>
    <w:r w:rsidRPr="002E49C5">
      <w:rPr>
        <w:b/>
        <w:sz w:val="18"/>
      </w:rPr>
      <w:fldChar w:fldCharType="separate"/>
    </w:r>
    <w:r w:rsidR="00DE3252">
      <w:rPr>
        <w:b/>
        <w:noProof/>
        <w:sz w:val="18"/>
      </w:rPr>
      <w:t>7</w:t>
    </w:r>
    <w:r w:rsidRPr="002E49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5" w:type="dxa"/>
      <w:tblCellMar>
        <w:left w:w="0" w:type="dxa"/>
        <w:right w:w="0" w:type="dxa"/>
      </w:tblCellMar>
      <w:tblLook w:val="04A0" w:firstRow="1" w:lastRow="0" w:firstColumn="1" w:lastColumn="0" w:noHBand="0" w:noVBand="1"/>
    </w:tblPr>
    <w:tblGrid>
      <w:gridCol w:w="3614"/>
      <w:gridCol w:w="4752"/>
    </w:tblGrid>
    <w:tr w:rsidR="00CA157F" w14:paraId="29FF32C9" w14:textId="77777777" w:rsidTr="001E0A1A">
      <w:tc>
        <w:tcPr>
          <w:tcW w:w="3614" w:type="dxa"/>
          <w:shd w:val="clear" w:color="auto" w:fill="auto"/>
        </w:tcPr>
        <w:p w14:paraId="178CDC65" w14:textId="4DDDFB87" w:rsidR="00CA157F" w:rsidRPr="001E0A1A" w:rsidRDefault="00A15F29" w:rsidP="00CA157F">
          <w:pPr>
            <w:pStyle w:val="Footer"/>
            <w:rPr>
              <w:sz w:val="20"/>
            </w:rPr>
          </w:pPr>
          <w:r>
            <w:rPr>
              <w:noProof/>
              <w:lang w:eastAsia="fr-CH"/>
            </w:rPr>
            <w:drawing>
              <wp:anchor distT="0" distB="0" distL="114300" distR="114300" simplePos="0" relativeHeight="251659264" behindDoc="0" locked="0" layoutInCell="1" allowOverlap="1" wp14:anchorId="1DFAC02E" wp14:editId="7C867907">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HRI/MC/2015/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MC/2015/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A157F" w:rsidRPr="001E0A1A">
            <w:rPr>
              <w:sz w:val="20"/>
            </w:rPr>
            <w:t>GE.15-12646(E)</w:t>
          </w:r>
        </w:p>
        <w:p w14:paraId="11EFD1D5" w14:textId="77777777" w:rsidR="00CA157F" w:rsidRPr="001E0A1A" w:rsidRDefault="00CA157F" w:rsidP="00CA157F">
          <w:pPr>
            <w:rPr>
              <w:rFonts w:ascii="Barcode 3 of 9 by request" w:hAnsi="Barcode 3 of 9 by request"/>
              <w:sz w:val="24"/>
              <w:lang w:val="fr-CH"/>
            </w:rPr>
          </w:pPr>
          <w:r w:rsidRPr="001E0A1A">
            <w:rPr>
              <w:rFonts w:ascii="Barcode 3 of 9 by request" w:hAnsi="Barcode 3 of 9 by request"/>
              <w:sz w:val="24"/>
              <w:lang w:val="fr-CH"/>
            </w:rPr>
            <w:t>*1512646*</w:t>
          </w:r>
        </w:p>
      </w:tc>
      <w:tc>
        <w:tcPr>
          <w:tcW w:w="4752" w:type="dxa"/>
          <w:shd w:val="clear" w:color="auto" w:fill="auto"/>
        </w:tcPr>
        <w:p w14:paraId="38518244" w14:textId="7107B782" w:rsidR="00CA157F" w:rsidRPr="001E0A1A" w:rsidRDefault="00A15F29" w:rsidP="001E0A1A">
          <w:pPr>
            <w:pStyle w:val="Footer"/>
            <w:spacing w:line="240" w:lineRule="atLeast"/>
            <w:jc w:val="right"/>
            <w:rPr>
              <w:sz w:val="20"/>
            </w:rPr>
          </w:pPr>
          <w:r>
            <w:rPr>
              <w:noProof/>
              <w:sz w:val="20"/>
              <w:lang w:eastAsia="fr-CH"/>
            </w:rPr>
            <w:drawing>
              <wp:inline distT="0" distB="0" distL="0" distR="0" wp14:anchorId="5A298223" wp14:editId="6D1C481F">
                <wp:extent cx="933450" cy="228600"/>
                <wp:effectExtent l="0" t="0" r="0" b="0"/>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3E4C18D2" w14:textId="77777777" w:rsidR="00CA157F" w:rsidRPr="00CA157F" w:rsidRDefault="00CA157F" w:rsidP="00CA157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2234E" w14:textId="77777777" w:rsidR="00E00583" w:rsidRPr="000B175B" w:rsidRDefault="00E00583" w:rsidP="00685EB1">
      <w:pPr>
        <w:tabs>
          <w:tab w:val="right" w:pos="2155"/>
        </w:tabs>
        <w:spacing w:after="80"/>
        <w:ind w:left="680"/>
        <w:rPr>
          <w:u w:val="single"/>
        </w:rPr>
      </w:pPr>
      <w:r>
        <w:rPr>
          <w:u w:val="single"/>
        </w:rPr>
        <w:tab/>
      </w:r>
    </w:p>
  </w:footnote>
  <w:footnote w:type="continuationSeparator" w:id="0">
    <w:p w14:paraId="0D2B026F" w14:textId="77777777" w:rsidR="00E00583" w:rsidRPr="00FC68B7" w:rsidRDefault="00E00583" w:rsidP="00685EB1">
      <w:pPr>
        <w:tabs>
          <w:tab w:val="left" w:pos="2155"/>
        </w:tabs>
        <w:spacing w:after="80"/>
        <w:ind w:left="680"/>
        <w:rPr>
          <w:u w:val="single"/>
        </w:rPr>
      </w:pPr>
      <w:r>
        <w:rPr>
          <w:u w:val="single"/>
        </w:rPr>
        <w:tab/>
      </w:r>
    </w:p>
  </w:footnote>
  <w:footnote w:type="continuationNotice" w:id="1">
    <w:p w14:paraId="66B845BC" w14:textId="77777777" w:rsidR="00E00583" w:rsidRDefault="00E00583"/>
  </w:footnote>
  <w:footnote w:id="2">
    <w:p w14:paraId="54BC69C2" w14:textId="77777777" w:rsidR="00146BD9" w:rsidRPr="00754929" w:rsidRDefault="00146BD9" w:rsidP="000E47F7">
      <w:pPr>
        <w:pStyle w:val="FootnoteText"/>
        <w:rPr>
          <w:lang w:val="en-US"/>
        </w:rPr>
      </w:pPr>
      <w:r w:rsidRPr="00C800C8">
        <w:rPr>
          <w:rStyle w:val="FootnoteReference"/>
          <w:lang w:val="en-US"/>
        </w:rPr>
        <w:tab/>
      </w:r>
      <w:r w:rsidRPr="0015410E">
        <w:rPr>
          <w:rStyle w:val="FootnoteReference"/>
          <w:sz w:val="20"/>
          <w:vertAlign w:val="baseline"/>
          <w:lang w:val="en-US"/>
        </w:rPr>
        <w:t>*</w:t>
      </w:r>
      <w:r w:rsidRPr="00C800C8">
        <w:rPr>
          <w:rStyle w:val="FootnoteReference"/>
          <w:szCs w:val="18"/>
          <w:vertAlign w:val="baseline"/>
          <w:lang w:val="en-US"/>
        </w:rPr>
        <w:tab/>
      </w:r>
      <w:r w:rsidR="000E47F7">
        <w:rPr>
          <w:szCs w:val="18"/>
          <w:lang w:val="en-US"/>
        </w:rPr>
        <w:t>Endors</w:t>
      </w:r>
      <w:r w:rsidRPr="00C800C8">
        <w:rPr>
          <w:szCs w:val="18"/>
          <w:lang w:val="en-US"/>
        </w:rPr>
        <w:t>ed at the twenty-seventh meeting of chairpersons of the human rights treaty bodies (</w:t>
      </w:r>
      <w:r>
        <w:rPr>
          <w:szCs w:val="18"/>
          <w:lang w:val="en-US"/>
        </w:rPr>
        <w:t>22-26 June 2015).</w:t>
      </w:r>
    </w:p>
  </w:footnote>
  <w:footnote w:id="3">
    <w:p w14:paraId="5B3207E0" w14:textId="77777777" w:rsidR="00C715EA" w:rsidRPr="008322F0" w:rsidRDefault="00C715EA" w:rsidP="0062712B">
      <w:pPr>
        <w:pStyle w:val="FootnoteText"/>
        <w:ind w:right="919"/>
        <w:rPr>
          <w:lang w:val="en-US"/>
        </w:rPr>
      </w:pPr>
      <w:r w:rsidRPr="008322F0">
        <w:rPr>
          <w:lang w:val="en-US"/>
        </w:rPr>
        <w:tab/>
      </w:r>
      <w:r>
        <w:rPr>
          <w:rStyle w:val="FootnoteReference"/>
        </w:rPr>
        <w:footnoteRef/>
      </w:r>
      <w:r w:rsidRPr="008322F0">
        <w:rPr>
          <w:lang w:val="en-US"/>
        </w:rPr>
        <w:tab/>
      </w:r>
      <w:r>
        <w:rPr>
          <w:lang w:val="en-US"/>
        </w:rPr>
        <w:t xml:space="preserve">See the </w:t>
      </w:r>
      <w:r w:rsidRPr="008322F0">
        <w:rPr>
          <w:lang w:val="en-GB"/>
        </w:rPr>
        <w:t>Convention against Torture and Other Cruel, Inhuman or Degrading Treatment or Punishment</w:t>
      </w:r>
      <w:r>
        <w:rPr>
          <w:lang w:val="en-GB"/>
        </w:rPr>
        <w:t>,</w:t>
      </w:r>
      <w:r w:rsidRPr="00D94517" w:rsidDel="005266EA">
        <w:rPr>
          <w:lang w:val="en-US"/>
        </w:rPr>
        <w:t xml:space="preserve"> </w:t>
      </w:r>
      <w:r>
        <w:rPr>
          <w:lang w:val="en-US"/>
        </w:rPr>
        <w:t>art.</w:t>
      </w:r>
      <w:r w:rsidR="004E4735">
        <w:rPr>
          <w:lang w:val="en-US"/>
        </w:rPr>
        <w:t> </w:t>
      </w:r>
      <w:r w:rsidRPr="008322F0">
        <w:rPr>
          <w:lang w:val="en-US"/>
        </w:rPr>
        <w:t>13</w:t>
      </w:r>
      <w:r>
        <w:rPr>
          <w:lang w:val="en-US"/>
        </w:rPr>
        <w:t xml:space="preserve">, and </w:t>
      </w:r>
      <w:r w:rsidR="0062712B">
        <w:rPr>
          <w:lang w:val="en-US"/>
        </w:rPr>
        <w:t>the</w:t>
      </w:r>
      <w:r>
        <w:rPr>
          <w:lang w:val="en-US"/>
        </w:rPr>
        <w:t xml:space="preserve"> Optional Protocol</w:t>
      </w:r>
      <w:r w:rsidR="0062712B">
        <w:rPr>
          <w:lang w:val="en-US"/>
        </w:rPr>
        <w:t xml:space="preserve"> thereto</w:t>
      </w:r>
      <w:r>
        <w:rPr>
          <w:lang w:val="en-US"/>
        </w:rPr>
        <w:t>,</w:t>
      </w:r>
      <w:r w:rsidRPr="008322F0">
        <w:rPr>
          <w:lang w:val="en-US"/>
        </w:rPr>
        <w:t xml:space="preserve"> </w:t>
      </w:r>
      <w:r>
        <w:rPr>
          <w:lang w:val="en-US"/>
        </w:rPr>
        <w:t>art.</w:t>
      </w:r>
      <w:r w:rsidR="005A6484">
        <w:rPr>
          <w:lang w:val="en-US"/>
        </w:rPr>
        <w:t> </w:t>
      </w:r>
      <w:r w:rsidRPr="008322F0">
        <w:rPr>
          <w:lang w:val="en-US"/>
        </w:rPr>
        <w:t xml:space="preserve">15; </w:t>
      </w:r>
      <w:r>
        <w:rPr>
          <w:lang w:val="en-GB"/>
        </w:rPr>
        <w:t xml:space="preserve">the </w:t>
      </w:r>
      <w:r w:rsidRPr="008322F0">
        <w:rPr>
          <w:lang w:val="en-GB"/>
        </w:rPr>
        <w:t>International Convention for the Protection of All Persons from Enforced Disappearance</w:t>
      </w:r>
      <w:r>
        <w:rPr>
          <w:lang w:val="en-GB"/>
        </w:rPr>
        <w:t>,</w:t>
      </w:r>
      <w:r>
        <w:rPr>
          <w:lang w:val="en-US"/>
        </w:rPr>
        <w:t xml:space="preserve"> art.</w:t>
      </w:r>
      <w:r w:rsidR="005A6484">
        <w:rPr>
          <w:lang w:val="en-US"/>
        </w:rPr>
        <w:t> </w:t>
      </w:r>
      <w:r w:rsidRPr="008322F0">
        <w:rPr>
          <w:lang w:val="en-US"/>
        </w:rPr>
        <w:t>12</w:t>
      </w:r>
      <w:r>
        <w:rPr>
          <w:lang w:val="en-US"/>
        </w:rPr>
        <w:t xml:space="preserve"> (</w:t>
      </w:r>
      <w:r w:rsidRPr="008322F0">
        <w:rPr>
          <w:lang w:val="en-US"/>
        </w:rPr>
        <w:t>1</w:t>
      </w:r>
      <w:r>
        <w:rPr>
          <w:lang w:val="en-US"/>
        </w:rPr>
        <w:t>)</w:t>
      </w:r>
      <w:r w:rsidRPr="008322F0">
        <w:rPr>
          <w:lang w:val="en-US"/>
        </w:rPr>
        <w:t xml:space="preserve"> and </w:t>
      </w:r>
      <w:r>
        <w:rPr>
          <w:lang w:val="en-US"/>
        </w:rPr>
        <w:t>(</w:t>
      </w:r>
      <w:r w:rsidRPr="008322F0">
        <w:rPr>
          <w:lang w:val="en-US"/>
        </w:rPr>
        <w:t>4</w:t>
      </w:r>
      <w:r>
        <w:rPr>
          <w:lang w:val="en-US"/>
        </w:rPr>
        <w:t>)</w:t>
      </w:r>
      <w:r w:rsidRPr="008322F0">
        <w:rPr>
          <w:lang w:val="en-US"/>
        </w:rPr>
        <w:t xml:space="preserve">; </w:t>
      </w:r>
      <w:r w:rsidR="0062712B">
        <w:rPr>
          <w:lang w:val="en-US"/>
        </w:rPr>
        <w:t xml:space="preserve">the </w:t>
      </w:r>
      <w:r>
        <w:rPr>
          <w:lang w:val="en-US"/>
        </w:rPr>
        <w:t>Optional Protocol to the Convention on the Rights of the Child on a communications procedure, art.</w:t>
      </w:r>
      <w:r w:rsidR="00234653">
        <w:rPr>
          <w:lang w:val="en-US"/>
        </w:rPr>
        <w:t> </w:t>
      </w:r>
      <w:r>
        <w:rPr>
          <w:lang w:val="en-US"/>
        </w:rPr>
        <w:t>4</w:t>
      </w:r>
      <w:r w:rsidRPr="008322F0">
        <w:rPr>
          <w:lang w:val="en-US"/>
        </w:rPr>
        <w:t xml:space="preserve">; </w:t>
      </w:r>
      <w:r w:rsidRPr="00D94517">
        <w:rPr>
          <w:lang w:val="en-US"/>
        </w:rPr>
        <w:t xml:space="preserve">the </w:t>
      </w:r>
      <w:r w:rsidRPr="008322F0">
        <w:rPr>
          <w:lang w:val="en-US"/>
        </w:rPr>
        <w:t>Optional Protocol to the International Covenant on Economic, Social and Cultural Rights</w:t>
      </w:r>
      <w:r>
        <w:rPr>
          <w:lang w:val="en-US"/>
        </w:rPr>
        <w:t>, art.</w:t>
      </w:r>
      <w:r w:rsidR="00234653">
        <w:rPr>
          <w:lang w:val="en-US"/>
        </w:rPr>
        <w:t> </w:t>
      </w:r>
      <w:r w:rsidRPr="008322F0">
        <w:rPr>
          <w:lang w:val="en-US"/>
        </w:rPr>
        <w:t>13;</w:t>
      </w:r>
      <w:r>
        <w:rPr>
          <w:lang w:val="en-US"/>
        </w:rPr>
        <w:t xml:space="preserve"> and </w:t>
      </w:r>
      <w:r w:rsidRPr="00D94517">
        <w:rPr>
          <w:lang w:val="en-US"/>
        </w:rPr>
        <w:t xml:space="preserve">the </w:t>
      </w:r>
      <w:r w:rsidRPr="008322F0">
        <w:rPr>
          <w:lang w:val="en-US"/>
        </w:rPr>
        <w:t>Optional Protocol to the Convention on the Elimination of All Forms of Discrimination against Women</w:t>
      </w:r>
      <w:r w:rsidRPr="00F54272">
        <w:rPr>
          <w:lang w:val="en-US"/>
        </w:rPr>
        <w:t>, art.</w:t>
      </w:r>
      <w:r w:rsidR="005A6484">
        <w:rPr>
          <w:lang w:val="en-US"/>
        </w:rPr>
        <w:t> </w:t>
      </w:r>
      <w:r>
        <w:rPr>
          <w:lang w:val="en-US"/>
        </w:rPr>
        <w:t>11</w:t>
      </w:r>
      <w:r w:rsidRPr="008322F0">
        <w:rPr>
          <w:lang w:val="en-US"/>
        </w:rPr>
        <w:t>.</w:t>
      </w:r>
    </w:p>
  </w:footnote>
  <w:footnote w:id="4">
    <w:p w14:paraId="2964F265" w14:textId="77777777" w:rsidR="00C715EA" w:rsidRPr="008322F0" w:rsidRDefault="00C715EA" w:rsidP="00C800C8">
      <w:pPr>
        <w:pStyle w:val="FootnoteText"/>
        <w:rPr>
          <w:lang w:val="en-US"/>
        </w:rPr>
      </w:pPr>
      <w:r w:rsidRPr="008322F0">
        <w:rPr>
          <w:lang w:val="en-US"/>
        </w:rPr>
        <w:tab/>
      </w:r>
      <w:r w:rsidRPr="00D94517">
        <w:rPr>
          <w:rStyle w:val="FootnoteReference"/>
        </w:rPr>
        <w:footnoteRef/>
      </w:r>
      <w:r w:rsidRPr="008322F0">
        <w:rPr>
          <w:lang w:val="en-US"/>
        </w:rPr>
        <w:tab/>
      </w:r>
      <w:r w:rsidR="00C800C8">
        <w:rPr>
          <w:lang w:val="en-US"/>
        </w:rPr>
        <w:t xml:space="preserve">See the </w:t>
      </w:r>
      <w:r w:rsidR="00C800C8" w:rsidRPr="008322F0">
        <w:rPr>
          <w:lang w:val="en-US"/>
        </w:rPr>
        <w:t>rules of procedure</w:t>
      </w:r>
      <w:r w:rsidR="00C800C8">
        <w:rPr>
          <w:lang w:val="en-US"/>
        </w:rPr>
        <w:t xml:space="preserve"> o</w:t>
      </w:r>
      <w:r w:rsidRPr="00D94517">
        <w:rPr>
          <w:lang w:val="en-US"/>
        </w:rPr>
        <w:t>f</w:t>
      </w:r>
      <w:r w:rsidRPr="008322F0">
        <w:rPr>
          <w:lang w:val="en-US"/>
        </w:rPr>
        <w:t xml:space="preserve"> the Committee on Economic, Social and Cultural Rights, the Committee on the Elimination of Discrimination against Women, the Committee on the Rights of the Child, </w:t>
      </w:r>
      <w:r>
        <w:rPr>
          <w:lang w:val="en-US"/>
        </w:rPr>
        <w:t xml:space="preserve">the </w:t>
      </w:r>
      <w:r w:rsidRPr="008322F0">
        <w:rPr>
          <w:lang w:val="en-US"/>
        </w:rPr>
        <w:t>Committee on the Elimination of Racial Discrimination</w:t>
      </w:r>
      <w:r>
        <w:rPr>
          <w:lang w:val="en-US"/>
        </w:rPr>
        <w:t xml:space="preserve"> and the Committee on Enforced Disappearances</w:t>
      </w:r>
      <w:r w:rsidRPr="008322F0">
        <w:rPr>
          <w:lang w:val="en-US"/>
        </w:rPr>
        <w:t>.</w:t>
      </w:r>
    </w:p>
  </w:footnote>
  <w:footnote w:id="5">
    <w:p w14:paraId="20B3D440" w14:textId="77777777" w:rsidR="00C715EA" w:rsidRPr="008322F0" w:rsidRDefault="00C715EA" w:rsidP="00C715EA">
      <w:pPr>
        <w:pStyle w:val="FootnoteText"/>
        <w:rPr>
          <w:lang w:val="en-US"/>
        </w:rPr>
      </w:pPr>
      <w:r w:rsidRPr="008322F0">
        <w:rPr>
          <w:lang w:val="en-US"/>
        </w:rPr>
        <w:tab/>
      </w:r>
      <w:r>
        <w:rPr>
          <w:rStyle w:val="FootnoteReference"/>
        </w:rPr>
        <w:footnoteRef/>
      </w:r>
      <w:r w:rsidRPr="008322F0">
        <w:rPr>
          <w:lang w:val="en-US"/>
        </w:rPr>
        <w:tab/>
      </w:r>
      <w:r w:rsidR="00C800C8">
        <w:rPr>
          <w:lang w:val="en-US"/>
        </w:rPr>
        <w:t xml:space="preserve">See </w:t>
      </w:r>
      <w:r w:rsidRPr="008322F0">
        <w:rPr>
          <w:lang w:val="en-US"/>
        </w:rPr>
        <w:t>General Assembly resolution 53/144, annex.</w:t>
      </w:r>
    </w:p>
  </w:footnote>
  <w:footnote w:id="6">
    <w:p w14:paraId="2DE260A3" w14:textId="77777777" w:rsidR="00C715EA" w:rsidRPr="008322F0" w:rsidRDefault="00C715EA" w:rsidP="00C715EA">
      <w:pPr>
        <w:pStyle w:val="FootnoteText"/>
        <w:rPr>
          <w:lang w:val="en-US"/>
        </w:rPr>
      </w:pPr>
      <w:r w:rsidRPr="008322F0">
        <w:rPr>
          <w:lang w:val="en-US"/>
        </w:rPr>
        <w:tab/>
      </w:r>
      <w:r w:rsidRPr="00953E64">
        <w:rPr>
          <w:vertAlign w:val="superscript"/>
          <w:lang w:val="en-US"/>
        </w:rPr>
        <w:footnoteRef/>
      </w:r>
      <w:r w:rsidRPr="008322F0">
        <w:rPr>
          <w:lang w:val="en-US"/>
        </w:rPr>
        <w:tab/>
        <w:t>A/HRC/27/38.</w:t>
      </w:r>
    </w:p>
  </w:footnote>
  <w:footnote w:id="7">
    <w:p w14:paraId="60A20855" w14:textId="77777777" w:rsidR="00C715EA" w:rsidRPr="00C800C8" w:rsidRDefault="00C715EA" w:rsidP="00C715EA">
      <w:pPr>
        <w:pStyle w:val="FootnoteText"/>
        <w:rPr>
          <w:lang w:val="en-GB"/>
        </w:rPr>
      </w:pPr>
      <w:r w:rsidRPr="008322F0">
        <w:rPr>
          <w:lang w:val="en-US"/>
        </w:rPr>
        <w:tab/>
      </w:r>
      <w:r>
        <w:rPr>
          <w:rStyle w:val="FootnoteReference"/>
        </w:rPr>
        <w:footnoteRef/>
      </w:r>
      <w:r w:rsidRPr="00C800C8">
        <w:rPr>
          <w:lang w:val="en-GB"/>
        </w:rPr>
        <w:tab/>
      </w:r>
      <w:r w:rsidR="00D46D9D">
        <w:rPr>
          <w:lang w:val="en-GB"/>
        </w:rPr>
        <w:t xml:space="preserve">See </w:t>
      </w:r>
      <w:r w:rsidRPr="00C800C8">
        <w:rPr>
          <w:lang w:val="en-GB"/>
        </w:rPr>
        <w:t>A/69/285, para. 111.</w:t>
      </w:r>
    </w:p>
  </w:footnote>
  <w:footnote w:id="8">
    <w:p w14:paraId="43268AC8" w14:textId="77777777" w:rsidR="00C715EA" w:rsidRPr="00C800C8" w:rsidRDefault="00C715EA" w:rsidP="00C715EA">
      <w:pPr>
        <w:pStyle w:val="FootnoteText"/>
        <w:rPr>
          <w:lang w:val="en-US"/>
        </w:rPr>
      </w:pPr>
      <w:r w:rsidRPr="00C800C8">
        <w:rPr>
          <w:lang w:val="en-GB"/>
        </w:rPr>
        <w:tab/>
      </w:r>
      <w:r>
        <w:rPr>
          <w:rStyle w:val="FootnoteReference"/>
        </w:rPr>
        <w:footnoteRef/>
      </w:r>
      <w:r w:rsidRPr="00C800C8">
        <w:rPr>
          <w:lang w:val="en-GB"/>
        </w:rPr>
        <w:tab/>
      </w:r>
      <w:r w:rsidRPr="00E12045">
        <w:rPr>
          <w:lang w:val="en-US"/>
        </w:rPr>
        <w:t>See Assembly resolution 68/268, para. </w:t>
      </w:r>
      <w:r w:rsidRPr="00C800C8">
        <w:rPr>
          <w:lang w:val="en-US"/>
        </w:rPr>
        <w:t>38, and A/69/285, para. 76.</w:t>
      </w:r>
    </w:p>
  </w:footnote>
  <w:footnote w:id="9">
    <w:p w14:paraId="38A6F5B2" w14:textId="77777777" w:rsidR="00C715EA" w:rsidRPr="00C800C8" w:rsidRDefault="00C715EA" w:rsidP="00C715EA">
      <w:pPr>
        <w:pStyle w:val="FootnoteText"/>
        <w:ind w:right="919"/>
      </w:pPr>
      <w:r>
        <w:rPr>
          <w:lang w:val="es-CO"/>
        </w:rPr>
        <w:tab/>
      </w:r>
      <w:r>
        <w:rPr>
          <w:rStyle w:val="FootnoteReference"/>
        </w:rPr>
        <w:footnoteRef/>
      </w:r>
      <w:r>
        <w:rPr>
          <w:lang w:val="es-CO"/>
        </w:rPr>
        <w:tab/>
      </w:r>
      <w:r w:rsidRPr="00C800C8">
        <w:rPr>
          <w:lang w:val="en-GB"/>
        </w:rPr>
        <w:t>See A/69/285, para.</w:t>
      </w:r>
      <w:r w:rsidR="00D97EA3" w:rsidRPr="00C800C8">
        <w:rPr>
          <w:lang w:val="en-GB"/>
        </w:rPr>
        <w:t> </w:t>
      </w:r>
      <w:r w:rsidRPr="00C800C8">
        <w:rPr>
          <w:lang w:val="en-GB"/>
        </w:rPr>
        <w:t>110</w:t>
      </w:r>
      <w:r w:rsidRPr="00C800C8">
        <w:rPr>
          <w:lang w:val="en-US"/>
        </w:rPr>
        <w:t>.</w:t>
      </w:r>
    </w:p>
  </w:footnote>
  <w:footnote w:id="10">
    <w:p w14:paraId="782C7BBC" w14:textId="77777777" w:rsidR="00C715EA" w:rsidRDefault="00C715EA" w:rsidP="00C715EA">
      <w:pPr>
        <w:pStyle w:val="FootnoteText"/>
        <w:ind w:right="919"/>
      </w:pPr>
      <w:r>
        <w:rPr>
          <w:lang w:val="es-CO"/>
        </w:rPr>
        <w:tab/>
      </w:r>
      <w:r>
        <w:rPr>
          <w:rStyle w:val="FootnoteReference"/>
        </w:rPr>
        <w:footnoteRef/>
      </w:r>
      <w:r>
        <w:rPr>
          <w:lang w:val="es-CO"/>
        </w:rPr>
        <w:tab/>
      </w:r>
      <w:r w:rsidRPr="00C800C8">
        <w:t>Ibid., paras.</w:t>
      </w:r>
      <w:r w:rsidR="00D97EA3">
        <w:rPr>
          <w:lang w:val="es-CO"/>
        </w:rPr>
        <w:t> </w:t>
      </w:r>
      <w:r>
        <w:t>70 and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E29B" w14:textId="77777777" w:rsidR="00460D4A" w:rsidRPr="002E49C5" w:rsidRDefault="00460D4A">
    <w:pPr>
      <w:pStyle w:val="Header"/>
    </w:pPr>
    <w:r>
      <w:t>HRI/MC/2015/</w:t>
    </w:r>
    <w:r w:rsidR="003A268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41A3" w14:textId="77777777" w:rsidR="00460D4A" w:rsidRPr="002E49C5" w:rsidRDefault="00460D4A" w:rsidP="00685EB1">
    <w:pPr>
      <w:pStyle w:val="Header"/>
      <w:jc w:val="right"/>
    </w:pPr>
    <w:r>
      <w:t>HRI/MC/2015/</w:t>
    </w:r>
    <w:r w:rsidR="003A268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65445"/>
    <w:multiLevelType w:val="hybridMultilevel"/>
    <w:tmpl w:val="4426BD8A"/>
    <w:lvl w:ilvl="0" w:tplc="0809000F">
      <w:start w:val="1"/>
      <w:numFmt w:val="decimal"/>
      <w:lvlText w:val="%1."/>
      <w:lvlJc w:val="left"/>
      <w:pPr>
        <w:ind w:left="72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B742C"/>
    <w:multiLevelType w:val="hybridMultilevel"/>
    <w:tmpl w:val="6CEC0A4A"/>
    <w:lvl w:ilvl="0" w:tplc="D0F4A200">
      <w:start w:val="2"/>
      <w:numFmt w:val="bullet"/>
      <w:lvlText w:val="-"/>
      <w:lvlJc w:val="left"/>
      <w:pPr>
        <w:ind w:left="1539" w:hanging="360"/>
      </w:pPr>
      <w:rPr>
        <w:rFonts w:ascii="Times New Roman" w:eastAsia="Times New Roman" w:hAnsi="Times New Roman" w:cs="Times New Roman" w:hint="default"/>
        <w:color w:val="000000"/>
      </w:rPr>
    </w:lvl>
    <w:lvl w:ilvl="1" w:tplc="08090003" w:tentative="1">
      <w:start w:val="1"/>
      <w:numFmt w:val="bullet"/>
      <w:lvlText w:val="o"/>
      <w:lvlJc w:val="left"/>
      <w:pPr>
        <w:ind w:left="2259" w:hanging="360"/>
      </w:pPr>
      <w:rPr>
        <w:rFonts w:ascii="Courier New" w:hAnsi="Courier New" w:cs="Arial"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Arial"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Arial" w:hint="default"/>
      </w:rPr>
    </w:lvl>
    <w:lvl w:ilvl="8" w:tplc="08090005" w:tentative="1">
      <w:start w:val="1"/>
      <w:numFmt w:val="bullet"/>
      <w:lvlText w:val=""/>
      <w:lvlJc w:val="left"/>
      <w:pPr>
        <w:ind w:left="7299" w:hanging="360"/>
      </w:pPr>
      <w:rPr>
        <w:rFonts w:ascii="Wingdings" w:hAnsi="Wingdings" w:hint="default"/>
      </w:rPr>
    </w:lvl>
  </w:abstractNum>
  <w:abstractNum w:abstractNumId="13" w15:restartNumberingAfterBreak="0">
    <w:nsid w:val="0C3A4C8A"/>
    <w:multiLevelType w:val="hybridMultilevel"/>
    <w:tmpl w:val="42E82DB4"/>
    <w:lvl w:ilvl="0" w:tplc="F2BE1C9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621614"/>
    <w:multiLevelType w:val="hybridMultilevel"/>
    <w:tmpl w:val="55A86B42"/>
    <w:lvl w:ilvl="0" w:tplc="7324AB7C">
      <w:start w:val="1"/>
      <w:numFmt w:val="decimal"/>
      <w:lvlText w:val="%1."/>
      <w:lvlJc w:val="left"/>
      <w:pPr>
        <w:ind w:left="2823" w:hanging="555"/>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4872D9C"/>
    <w:multiLevelType w:val="hybridMultilevel"/>
    <w:tmpl w:val="0CC68862"/>
    <w:lvl w:ilvl="0" w:tplc="8482FD54">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E23111"/>
    <w:multiLevelType w:val="hybridMultilevel"/>
    <w:tmpl w:val="12769326"/>
    <w:lvl w:ilvl="0" w:tplc="7324AB7C">
      <w:start w:val="1"/>
      <w:numFmt w:val="decimal"/>
      <w:lvlText w:val="%1."/>
      <w:lvlJc w:val="left"/>
      <w:pPr>
        <w:ind w:left="2823" w:hanging="555"/>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E5A07B9"/>
    <w:multiLevelType w:val="hybridMultilevel"/>
    <w:tmpl w:val="05E226BA"/>
    <w:lvl w:ilvl="0" w:tplc="0409000F">
      <w:start w:val="1"/>
      <w:numFmt w:val="decimal"/>
      <w:lvlText w:val="%1."/>
      <w:lvlJc w:val="left"/>
      <w:pPr>
        <w:ind w:left="720" w:hanging="360"/>
      </w:pPr>
      <w:rPr>
        <w:rFonts w:cs="Times New Roman"/>
      </w:rPr>
    </w:lvl>
    <w:lvl w:ilvl="1" w:tplc="6C44F65E">
      <w:start w:val="1"/>
      <w:numFmt w:val="lowerLetter"/>
      <w:lvlText w:val="(%2)"/>
      <w:lvlJc w:val="left"/>
      <w:pPr>
        <w:ind w:left="1545" w:hanging="465"/>
      </w:pPr>
      <w:rPr>
        <w:rFonts w:cs="Times New Roman" w:hint="default"/>
      </w:rPr>
    </w:lvl>
    <w:lvl w:ilvl="2" w:tplc="12D61EE0">
      <w:start w:val="1"/>
      <w:numFmt w:val="lowerLetter"/>
      <w:lvlText w:val="%3)"/>
      <w:lvlJc w:val="left"/>
      <w:pPr>
        <w:ind w:left="2685" w:hanging="70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00D5931"/>
    <w:multiLevelType w:val="hybridMultilevel"/>
    <w:tmpl w:val="C9AC6AC0"/>
    <w:lvl w:ilvl="0" w:tplc="08090015">
      <w:start w:val="1"/>
      <w:numFmt w:val="upperLetter"/>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0" w15:restartNumberingAfterBreak="0">
    <w:nsid w:val="24F0540C"/>
    <w:multiLevelType w:val="hybridMultilevel"/>
    <w:tmpl w:val="644C4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643BE6"/>
    <w:multiLevelType w:val="hybridMultilevel"/>
    <w:tmpl w:val="90D007E4"/>
    <w:lvl w:ilvl="0" w:tplc="D526D2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29AF6BD7"/>
    <w:multiLevelType w:val="hybridMultilevel"/>
    <w:tmpl w:val="B9989966"/>
    <w:lvl w:ilvl="0" w:tplc="AA54D26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B575FB3"/>
    <w:multiLevelType w:val="hybridMultilevel"/>
    <w:tmpl w:val="2278B158"/>
    <w:lvl w:ilvl="0" w:tplc="36DE6B7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2F1A2DBA"/>
    <w:multiLevelType w:val="hybridMultilevel"/>
    <w:tmpl w:val="C9AC6AC0"/>
    <w:lvl w:ilvl="0" w:tplc="08090015">
      <w:start w:val="1"/>
      <w:numFmt w:val="upperLetter"/>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5" w15:restartNumberingAfterBreak="0">
    <w:nsid w:val="301B276B"/>
    <w:multiLevelType w:val="hybridMultilevel"/>
    <w:tmpl w:val="643CC282"/>
    <w:lvl w:ilvl="0" w:tplc="DE3427A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31511B40"/>
    <w:multiLevelType w:val="hybridMultilevel"/>
    <w:tmpl w:val="5A26CB76"/>
    <w:lvl w:ilvl="0" w:tplc="9260DCD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2074CA"/>
    <w:multiLevelType w:val="hybridMultilevel"/>
    <w:tmpl w:val="43A4804E"/>
    <w:lvl w:ilvl="0" w:tplc="7D7ECB5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6673F22"/>
    <w:multiLevelType w:val="hybridMultilevel"/>
    <w:tmpl w:val="C71E78B0"/>
    <w:lvl w:ilvl="0" w:tplc="98463A1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77B3559"/>
    <w:multiLevelType w:val="hybridMultilevel"/>
    <w:tmpl w:val="C6D0A162"/>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43DA47F0"/>
    <w:multiLevelType w:val="hybridMultilevel"/>
    <w:tmpl w:val="3ECED292"/>
    <w:lvl w:ilvl="0" w:tplc="7324AB7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D6E301E"/>
    <w:multiLevelType w:val="hybridMultilevel"/>
    <w:tmpl w:val="78AAB276"/>
    <w:lvl w:ilvl="0" w:tplc="34B6B648">
      <w:start w:val="1"/>
      <w:numFmt w:val="upperLetter"/>
      <w:lvlText w:val="%1."/>
      <w:lvlJc w:val="left"/>
      <w:pPr>
        <w:ind w:left="1353"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09C2FD7"/>
    <w:multiLevelType w:val="hybridMultilevel"/>
    <w:tmpl w:val="184C92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3BB6FBD"/>
    <w:multiLevelType w:val="hybridMultilevel"/>
    <w:tmpl w:val="6C7C27B6"/>
    <w:lvl w:ilvl="0" w:tplc="23CCA37C">
      <w:start w:val="2"/>
      <w:numFmt w:val="upp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35" w15:restartNumberingAfterBreak="0">
    <w:nsid w:val="56C62BB2"/>
    <w:multiLevelType w:val="hybridMultilevel"/>
    <w:tmpl w:val="4E5EC6F2"/>
    <w:lvl w:ilvl="0" w:tplc="4FF2826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6" w15:restartNumberingAfterBreak="0">
    <w:nsid w:val="5C1E2340"/>
    <w:multiLevelType w:val="hybridMultilevel"/>
    <w:tmpl w:val="38BAB836"/>
    <w:lvl w:ilvl="0" w:tplc="61AC71C6">
      <w:start w:val="4"/>
      <w:numFmt w:val="upp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37" w15:restartNumberingAfterBreak="0">
    <w:nsid w:val="5E8B4861"/>
    <w:multiLevelType w:val="hybridMultilevel"/>
    <w:tmpl w:val="AF08439E"/>
    <w:lvl w:ilvl="0" w:tplc="8EFE4504">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8" w15:restartNumberingAfterBreak="0">
    <w:nsid w:val="5F5F04F3"/>
    <w:multiLevelType w:val="hybridMultilevel"/>
    <w:tmpl w:val="2EAA8B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0CA018B"/>
    <w:multiLevelType w:val="hybridMultilevel"/>
    <w:tmpl w:val="A080C274"/>
    <w:lvl w:ilvl="0" w:tplc="08090017">
      <w:start w:val="1"/>
      <w:numFmt w:val="lowerLetter"/>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41" w15:restartNumberingAfterBreak="0">
    <w:nsid w:val="61954BD1"/>
    <w:multiLevelType w:val="hybridMultilevel"/>
    <w:tmpl w:val="788E7ED6"/>
    <w:lvl w:ilvl="0" w:tplc="2F30ADD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64294324"/>
    <w:multiLevelType w:val="hybridMultilevel"/>
    <w:tmpl w:val="5B567034"/>
    <w:lvl w:ilvl="0" w:tplc="9FA2708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66A93392"/>
    <w:multiLevelType w:val="hybridMultilevel"/>
    <w:tmpl w:val="87DC6338"/>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6A742FC3"/>
    <w:multiLevelType w:val="hybridMultilevel"/>
    <w:tmpl w:val="DC961458"/>
    <w:lvl w:ilvl="0" w:tplc="8C3A258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6ACC5ED0"/>
    <w:multiLevelType w:val="hybridMultilevel"/>
    <w:tmpl w:val="727A5424"/>
    <w:lvl w:ilvl="0" w:tplc="6828454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7" w15:restartNumberingAfterBreak="0">
    <w:nsid w:val="6E311407"/>
    <w:multiLevelType w:val="hybridMultilevel"/>
    <w:tmpl w:val="98321ABE"/>
    <w:lvl w:ilvl="0" w:tplc="56DE1D18">
      <w:start w:val="1"/>
      <w:numFmt w:val="lowerLetter"/>
      <w:lvlText w:val="(%1)"/>
      <w:lvlJc w:val="left"/>
      <w:pPr>
        <w:ind w:left="1287" w:hanging="720"/>
      </w:pPr>
      <w:rPr>
        <w:rFonts w:hint="default"/>
        <w:b/>
        <w:u w:val="singl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6E3D6467"/>
    <w:multiLevelType w:val="hybridMultilevel"/>
    <w:tmpl w:val="D1BE2382"/>
    <w:lvl w:ilvl="0" w:tplc="67943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02B61CE"/>
    <w:multiLevelType w:val="hybridMultilevel"/>
    <w:tmpl w:val="AEDCD43C"/>
    <w:lvl w:ilvl="0" w:tplc="08090013">
      <w:start w:val="1"/>
      <w:numFmt w:val="upperRoman"/>
      <w:lvlText w:val="%1."/>
      <w:lvlJc w:val="right"/>
      <w:pPr>
        <w:ind w:left="1844" w:hanging="360"/>
      </w:p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50" w15:restartNumberingAfterBreak="0">
    <w:nsid w:val="70E67656"/>
    <w:multiLevelType w:val="hybridMultilevel"/>
    <w:tmpl w:val="82E2B18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474D43"/>
    <w:multiLevelType w:val="hybridMultilevel"/>
    <w:tmpl w:val="212E6B32"/>
    <w:lvl w:ilvl="0" w:tplc="7324AB7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15:restartNumberingAfterBreak="0">
    <w:nsid w:val="73E02C1C"/>
    <w:multiLevelType w:val="hybridMultilevel"/>
    <w:tmpl w:val="52447470"/>
    <w:lvl w:ilvl="0" w:tplc="7324AB7C">
      <w:start w:val="1"/>
      <w:numFmt w:val="decimal"/>
      <w:lvlText w:val="%1."/>
      <w:lvlJc w:val="left"/>
      <w:pPr>
        <w:ind w:left="1689" w:hanging="555"/>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15:restartNumberingAfterBreak="0">
    <w:nsid w:val="76D51430"/>
    <w:multiLevelType w:val="hybridMultilevel"/>
    <w:tmpl w:val="613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E73BB1"/>
    <w:multiLevelType w:val="hybridMultilevel"/>
    <w:tmpl w:val="D31EC940"/>
    <w:lvl w:ilvl="0" w:tplc="FEACD5FC">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1"/>
  </w:num>
  <w:num w:numId="14">
    <w:abstractNumId w:val="44"/>
  </w:num>
  <w:num w:numId="15">
    <w:abstractNumId w:val="30"/>
  </w:num>
  <w:num w:numId="16">
    <w:abstractNumId w:val="15"/>
  </w:num>
  <w:num w:numId="17">
    <w:abstractNumId w:val="46"/>
  </w:num>
  <w:num w:numId="18">
    <w:abstractNumId w:val="53"/>
  </w:num>
  <w:num w:numId="19">
    <w:abstractNumId w:val="18"/>
  </w:num>
  <w:num w:numId="20">
    <w:abstractNumId w:val="10"/>
  </w:num>
  <w:num w:numId="21">
    <w:abstractNumId w:val="26"/>
  </w:num>
  <w:num w:numId="22">
    <w:abstractNumId w:val="47"/>
  </w:num>
  <w:num w:numId="23">
    <w:abstractNumId w:val="54"/>
  </w:num>
  <w:num w:numId="24">
    <w:abstractNumId w:val="27"/>
  </w:num>
  <w:num w:numId="25">
    <w:abstractNumId w:val="28"/>
  </w:num>
  <w:num w:numId="26">
    <w:abstractNumId w:val="12"/>
  </w:num>
  <w:num w:numId="27">
    <w:abstractNumId w:val="21"/>
  </w:num>
  <w:num w:numId="28">
    <w:abstractNumId w:val="32"/>
  </w:num>
  <w:num w:numId="29">
    <w:abstractNumId w:val="35"/>
  </w:num>
  <w:num w:numId="30">
    <w:abstractNumId w:val="22"/>
  </w:num>
  <w:num w:numId="31">
    <w:abstractNumId w:val="41"/>
  </w:num>
  <w:num w:numId="32">
    <w:abstractNumId w:val="48"/>
  </w:num>
  <w:num w:numId="33">
    <w:abstractNumId w:val="42"/>
  </w:num>
  <w:num w:numId="34">
    <w:abstractNumId w:val="37"/>
  </w:num>
  <w:num w:numId="35">
    <w:abstractNumId w:val="25"/>
  </w:num>
  <w:num w:numId="36">
    <w:abstractNumId w:val="23"/>
  </w:num>
  <w:num w:numId="37">
    <w:abstractNumId w:val="29"/>
  </w:num>
  <w:num w:numId="38">
    <w:abstractNumId w:val="49"/>
  </w:num>
  <w:num w:numId="39">
    <w:abstractNumId w:val="34"/>
  </w:num>
  <w:num w:numId="40">
    <w:abstractNumId w:val="19"/>
  </w:num>
  <w:num w:numId="41">
    <w:abstractNumId w:val="13"/>
  </w:num>
  <w:num w:numId="42">
    <w:abstractNumId w:val="20"/>
  </w:num>
  <w:num w:numId="43">
    <w:abstractNumId w:val="50"/>
  </w:num>
  <w:num w:numId="44">
    <w:abstractNumId w:val="24"/>
  </w:num>
  <w:num w:numId="45">
    <w:abstractNumId w:val="36"/>
  </w:num>
  <w:num w:numId="46">
    <w:abstractNumId w:val="38"/>
  </w:num>
  <w:num w:numId="47">
    <w:abstractNumId w:val="52"/>
  </w:num>
  <w:num w:numId="48">
    <w:abstractNumId w:val="17"/>
  </w:num>
  <w:num w:numId="49">
    <w:abstractNumId w:val="31"/>
  </w:num>
  <w:num w:numId="50">
    <w:abstractNumId w:val="14"/>
  </w:num>
  <w:num w:numId="51">
    <w:abstractNumId w:val="51"/>
  </w:num>
  <w:num w:numId="52">
    <w:abstractNumId w:val="43"/>
  </w:num>
  <w:num w:numId="53">
    <w:abstractNumId w:val="40"/>
  </w:num>
  <w:num w:numId="54">
    <w:abstractNumId w:val="33"/>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5"/>
    <w:rsid w:val="00003304"/>
    <w:rsid w:val="000040D2"/>
    <w:rsid w:val="00006E57"/>
    <w:rsid w:val="000077EF"/>
    <w:rsid w:val="00012CEA"/>
    <w:rsid w:val="000132FA"/>
    <w:rsid w:val="00014FB6"/>
    <w:rsid w:val="000234FC"/>
    <w:rsid w:val="00024C21"/>
    <w:rsid w:val="000317D3"/>
    <w:rsid w:val="00033F37"/>
    <w:rsid w:val="00042A2B"/>
    <w:rsid w:val="00043A59"/>
    <w:rsid w:val="000445A1"/>
    <w:rsid w:val="00044678"/>
    <w:rsid w:val="000449A7"/>
    <w:rsid w:val="000473B0"/>
    <w:rsid w:val="000517B7"/>
    <w:rsid w:val="00051DE3"/>
    <w:rsid w:val="00054FE2"/>
    <w:rsid w:val="0005785D"/>
    <w:rsid w:val="00062783"/>
    <w:rsid w:val="0006395C"/>
    <w:rsid w:val="00064F8E"/>
    <w:rsid w:val="0007681E"/>
    <w:rsid w:val="000815B1"/>
    <w:rsid w:val="000819FF"/>
    <w:rsid w:val="0009676E"/>
    <w:rsid w:val="00096F83"/>
    <w:rsid w:val="000A1785"/>
    <w:rsid w:val="000A22DF"/>
    <w:rsid w:val="000A27AD"/>
    <w:rsid w:val="000A6E30"/>
    <w:rsid w:val="000D0E6A"/>
    <w:rsid w:val="000D1E17"/>
    <w:rsid w:val="000D2F5D"/>
    <w:rsid w:val="000D5E48"/>
    <w:rsid w:val="000E47F7"/>
    <w:rsid w:val="000E5334"/>
    <w:rsid w:val="000E6AF6"/>
    <w:rsid w:val="000F3C6C"/>
    <w:rsid w:val="000F5F56"/>
    <w:rsid w:val="000F6ACB"/>
    <w:rsid w:val="000F70CD"/>
    <w:rsid w:val="00100164"/>
    <w:rsid w:val="00102BFB"/>
    <w:rsid w:val="00104407"/>
    <w:rsid w:val="00113E11"/>
    <w:rsid w:val="00114314"/>
    <w:rsid w:val="00117E9A"/>
    <w:rsid w:val="00120F7E"/>
    <w:rsid w:val="001224C8"/>
    <w:rsid w:val="00125BB2"/>
    <w:rsid w:val="00126DC6"/>
    <w:rsid w:val="00132124"/>
    <w:rsid w:val="0013250A"/>
    <w:rsid w:val="0013494E"/>
    <w:rsid w:val="001402E4"/>
    <w:rsid w:val="001407C8"/>
    <w:rsid w:val="00141FFD"/>
    <w:rsid w:val="00143427"/>
    <w:rsid w:val="001442F3"/>
    <w:rsid w:val="00144743"/>
    <w:rsid w:val="001465E8"/>
    <w:rsid w:val="00146BD9"/>
    <w:rsid w:val="00153316"/>
    <w:rsid w:val="0015410E"/>
    <w:rsid w:val="00156AD5"/>
    <w:rsid w:val="0016528B"/>
    <w:rsid w:val="00166EF7"/>
    <w:rsid w:val="00171823"/>
    <w:rsid w:val="00176C0A"/>
    <w:rsid w:val="00177098"/>
    <w:rsid w:val="00180E18"/>
    <w:rsid w:val="00185BAB"/>
    <w:rsid w:val="0018610A"/>
    <w:rsid w:val="00187741"/>
    <w:rsid w:val="00187FDA"/>
    <w:rsid w:val="00190753"/>
    <w:rsid w:val="00191E56"/>
    <w:rsid w:val="00192A77"/>
    <w:rsid w:val="001A03C8"/>
    <w:rsid w:val="001A0A6E"/>
    <w:rsid w:val="001A3EAF"/>
    <w:rsid w:val="001B2B9B"/>
    <w:rsid w:val="001B520D"/>
    <w:rsid w:val="001C1937"/>
    <w:rsid w:val="001C41D2"/>
    <w:rsid w:val="001C61E8"/>
    <w:rsid w:val="001D1477"/>
    <w:rsid w:val="001D196F"/>
    <w:rsid w:val="001D231D"/>
    <w:rsid w:val="001D2AC7"/>
    <w:rsid w:val="001D58C1"/>
    <w:rsid w:val="001D6503"/>
    <w:rsid w:val="001D7EF7"/>
    <w:rsid w:val="001E0A1A"/>
    <w:rsid w:val="001E0D2C"/>
    <w:rsid w:val="001E5B57"/>
    <w:rsid w:val="001E64D0"/>
    <w:rsid w:val="001F20E5"/>
    <w:rsid w:val="001F7410"/>
    <w:rsid w:val="00205680"/>
    <w:rsid w:val="00210C39"/>
    <w:rsid w:val="00210C4F"/>
    <w:rsid w:val="00212E3D"/>
    <w:rsid w:val="002235BA"/>
    <w:rsid w:val="002270E6"/>
    <w:rsid w:val="00233E2D"/>
    <w:rsid w:val="00234653"/>
    <w:rsid w:val="00240A2D"/>
    <w:rsid w:val="00240E9C"/>
    <w:rsid w:val="002424E1"/>
    <w:rsid w:val="00252F57"/>
    <w:rsid w:val="00260B57"/>
    <w:rsid w:val="00262502"/>
    <w:rsid w:val="002629B4"/>
    <w:rsid w:val="00262C97"/>
    <w:rsid w:val="00272256"/>
    <w:rsid w:val="002744BA"/>
    <w:rsid w:val="00274C6A"/>
    <w:rsid w:val="00276B62"/>
    <w:rsid w:val="00277441"/>
    <w:rsid w:val="00282E02"/>
    <w:rsid w:val="00293A47"/>
    <w:rsid w:val="0029547B"/>
    <w:rsid w:val="00296DF1"/>
    <w:rsid w:val="00297583"/>
    <w:rsid w:val="002C4A88"/>
    <w:rsid w:val="002C50DB"/>
    <w:rsid w:val="002C7E7F"/>
    <w:rsid w:val="002D2FEA"/>
    <w:rsid w:val="002D39EB"/>
    <w:rsid w:val="002D612D"/>
    <w:rsid w:val="002D72A8"/>
    <w:rsid w:val="002E1EAB"/>
    <w:rsid w:val="002E3B50"/>
    <w:rsid w:val="002E49C5"/>
    <w:rsid w:val="002F3112"/>
    <w:rsid w:val="002F489C"/>
    <w:rsid w:val="002F7884"/>
    <w:rsid w:val="00304FB3"/>
    <w:rsid w:val="0030775B"/>
    <w:rsid w:val="00311EFF"/>
    <w:rsid w:val="003250BB"/>
    <w:rsid w:val="00331C1E"/>
    <w:rsid w:val="003327A0"/>
    <w:rsid w:val="00334709"/>
    <w:rsid w:val="00335543"/>
    <w:rsid w:val="003355F4"/>
    <w:rsid w:val="00336B04"/>
    <w:rsid w:val="003406C5"/>
    <w:rsid w:val="00344C0E"/>
    <w:rsid w:val="003460B4"/>
    <w:rsid w:val="00351978"/>
    <w:rsid w:val="00352E23"/>
    <w:rsid w:val="003566B8"/>
    <w:rsid w:val="00356E02"/>
    <w:rsid w:val="003573F3"/>
    <w:rsid w:val="00360B96"/>
    <w:rsid w:val="003667E2"/>
    <w:rsid w:val="0037148A"/>
    <w:rsid w:val="0037282D"/>
    <w:rsid w:val="00373F49"/>
    <w:rsid w:val="00376F2F"/>
    <w:rsid w:val="00380201"/>
    <w:rsid w:val="00387687"/>
    <w:rsid w:val="00391454"/>
    <w:rsid w:val="00391577"/>
    <w:rsid w:val="00393B8A"/>
    <w:rsid w:val="003977A4"/>
    <w:rsid w:val="003A00BF"/>
    <w:rsid w:val="003A1081"/>
    <w:rsid w:val="003A2684"/>
    <w:rsid w:val="003A488E"/>
    <w:rsid w:val="003A564C"/>
    <w:rsid w:val="003B249B"/>
    <w:rsid w:val="003B6593"/>
    <w:rsid w:val="003C5A63"/>
    <w:rsid w:val="003D0FE3"/>
    <w:rsid w:val="003D1ADA"/>
    <w:rsid w:val="003E02E7"/>
    <w:rsid w:val="003E0416"/>
    <w:rsid w:val="003E3B1D"/>
    <w:rsid w:val="003E6201"/>
    <w:rsid w:val="003E63D9"/>
    <w:rsid w:val="003F050E"/>
    <w:rsid w:val="003F1395"/>
    <w:rsid w:val="003F2AA6"/>
    <w:rsid w:val="003F2D29"/>
    <w:rsid w:val="003F3A39"/>
    <w:rsid w:val="003F656F"/>
    <w:rsid w:val="003F6F87"/>
    <w:rsid w:val="003F7321"/>
    <w:rsid w:val="00401907"/>
    <w:rsid w:val="004028EF"/>
    <w:rsid w:val="0040391F"/>
    <w:rsid w:val="00406171"/>
    <w:rsid w:val="004065B9"/>
    <w:rsid w:val="00406E11"/>
    <w:rsid w:val="004128DD"/>
    <w:rsid w:val="004129B8"/>
    <w:rsid w:val="0041305A"/>
    <w:rsid w:val="00413268"/>
    <w:rsid w:val="004152F5"/>
    <w:rsid w:val="00420354"/>
    <w:rsid w:val="00440A04"/>
    <w:rsid w:val="004433A6"/>
    <w:rsid w:val="004443F5"/>
    <w:rsid w:val="00446071"/>
    <w:rsid w:val="0045062A"/>
    <w:rsid w:val="00452B54"/>
    <w:rsid w:val="00457056"/>
    <w:rsid w:val="00460D4A"/>
    <w:rsid w:val="00465051"/>
    <w:rsid w:val="00465198"/>
    <w:rsid w:val="004651A8"/>
    <w:rsid w:val="00465875"/>
    <w:rsid w:val="00470122"/>
    <w:rsid w:val="00474CDB"/>
    <w:rsid w:val="00481389"/>
    <w:rsid w:val="00481A28"/>
    <w:rsid w:val="004848E5"/>
    <w:rsid w:val="00487258"/>
    <w:rsid w:val="00497FD5"/>
    <w:rsid w:val="004A1B8F"/>
    <w:rsid w:val="004A2D2F"/>
    <w:rsid w:val="004A69E7"/>
    <w:rsid w:val="004B2F19"/>
    <w:rsid w:val="004B6FE9"/>
    <w:rsid w:val="004C7389"/>
    <w:rsid w:val="004D246B"/>
    <w:rsid w:val="004D3FB3"/>
    <w:rsid w:val="004D40A8"/>
    <w:rsid w:val="004D75DA"/>
    <w:rsid w:val="004E2E5F"/>
    <w:rsid w:val="004E4735"/>
    <w:rsid w:val="004E4F01"/>
    <w:rsid w:val="004E5ACB"/>
    <w:rsid w:val="004F1702"/>
    <w:rsid w:val="004F2539"/>
    <w:rsid w:val="004F3010"/>
    <w:rsid w:val="004F70F3"/>
    <w:rsid w:val="00501414"/>
    <w:rsid w:val="00501AE4"/>
    <w:rsid w:val="00503176"/>
    <w:rsid w:val="00504A64"/>
    <w:rsid w:val="00512A2B"/>
    <w:rsid w:val="00514500"/>
    <w:rsid w:val="00516344"/>
    <w:rsid w:val="00517458"/>
    <w:rsid w:val="005179EB"/>
    <w:rsid w:val="005266EA"/>
    <w:rsid w:val="00526F42"/>
    <w:rsid w:val="00527F39"/>
    <w:rsid w:val="005412F8"/>
    <w:rsid w:val="0054339A"/>
    <w:rsid w:val="005461A7"/>
    <w:rsid w:val="00546A4C"/>
    <w:rsid w:val="00546C58"/>
    <w:rsid w:val="00547DBB"/>
    <w:rsid w:val="0055053D"/>
    <w:rsid w:val="005525DD"/>
    <w:rsid w:val="00552CAA"/>
    <w:rsid w:val="00552CDB"/>
    <w:rsid w:val="0056104A"/>
    <w:rsid w:val="005624A6"/>
    <w:rsid w:val="0056357F"/>
    <w:rsid w:val="0056659F"/>
    <w:rsid w:val="0057070C"/>
    <w:rsid w:val="005765A5"/>
    <w:rsid w:val="00576FF5"/>
    <w:rsid w:val="00584FAC"/>
    <w:rsid w:val="00586CC7"/>
    <w:rsid w:val="005902AA"/>
    <w:rsid w:val="0059160C"/>
    <w:rsid w:val="00596709"/>
    <w:rsid w:val="0059796C"/>
    <w:rsid w:val="005A35DE"/>
    <w:rsid w:val="005A3670"/>
    <w:rsid w:val="005A6484"/>
    <w:rsid w:val="005B55E0"/>
    <w:rsid w:val="005C2CF1"/>
    <w:rsid w:val="005C670D"/>
    <w:rsid w:val="005C6A17"/>
    <w:rsid w:val="005D07EF"/>
    <w:rsid w:val="005D0F33"/>
    <w:rsid w:val="005D4161"/>
    <w:rsid w:val="005D58F2"/>
    <w:rsid w:val="005D5BFB"/>
    <w:rsid w:val="005E5B10"/>
    <w:rsid w:val="005E6AA4"/>
    <w:rsid w:val="005F0A52"/>
    <w:rsid w:val="005F192A"/>
    <w:rsid w:val="005F2704"/>
    <w:rsid w:val="005F46FB"/>
    <w:rsid w:val="006013A2"/>
    <w:rsid w:val="006015F2"/>
    <w:rsid w:val="00604851"/>
    <w:rsid w:val="00605EAE"/>
    <w:rsid w:val="00610B83"/>
    <w:rsid w:val="006147C6"/>
    <w:rsid w:val="00617C55"/>
    <w:rsid w:val="00617FC5"/>
    <w:rsid w:val="006202E0"/>
    <w:rsid w:val="00620F3B"/>
    <w:rsid w:val="00621E93"/>
    <w:rsid w:val="006231A2"/>
    <w:rsid w:val="006255D1"/>
    <w:rsid w:val="0062712B"/>
    <w:rsid w:val="00637123"/>
    <w:rsid w:val="006372A7"/>
    <w:rsid w:val="00637B28"/>
    <w:rsid w:val="00643481"/>
    <w:rsid w:val="00643E2B"/>
    <w:rsid w:val="00650037"/>
    <w:rsid w:val="0065034C"/>
    <w:rsid w:val="006520AB"/>
    <w:rsid w:val="0065693F"/>
    <w:rsid w:val="00661D94"/>
    <w:rsid w:val="0066313C"/>
    <w:rsid w:val="00664B45"/>
    <w:rsid w:val="00670FBA"/>
    <w:rsid w:val="0067514B"/>
    <w:rsid w:val="00680BDE"/>
    <w:rsid w:val="00685EB1"/>
    <w:rsid w:val="00686224"/>
    <w:rsid w:val="00686CEC"/>
    <w:rsid w:val="00692293"/>
    <w:rsid w:val="00693E70"/>
    <w:rsid w:val="00694D79"/>
    <w:rsid w:val="006A3203"/>
    <w:rsid w:val="006A3E9F"/>
    <w:rsid w:val="006B0BF7"/>
    <w:rsid w:val="006B0D67"/>
    <w:rsid w:val="006B1C35"/>
    <w:rsid w:val="006B3776"/>
    <w:rsid w:val="006B417D"/>
    <w:rsid w:val="006C10DC"/>
    <w:rsid w:val="006C1D10"/>
    <w:rsid w:val="006C47C3"/>
    <w:rsid w:val="006C5314"/>
    <w:rsid w:val="006C5E43"/>
    <w:rsid w:val="006C7188"/>
    <w:rsid w:val="006C7DC1"/>
    <w:rsid w:val="006D4191"/>
    <w:rsid w:val="006D5132"/>
    <w:rsid w:val="006D5F45"/>
    <w:rsid w:val="006D6C95"/>
    <w:rsid w:val="006D7866"/>
    <w:rsid w:val="006E0E49"/>
    <w:rsid w:val="006E32B9"/>
    <w:rsid w:val="006F23BD"/>
    <w:rsid w:val="006F4181"/>
    <w:rsid w:val="006F6F48"/>
    <w:rsid w:val="006F7074"/>
    <w:rsid w:val="00701C10"/>
    <w:rsid w:val="00701D2C"/>
    <w:rsid w:val="0070372C"/>
    <w:rsid w:val="00704AED"/>
    <w:rsid w:val="00712F31"/>
    <w:rsid w:val="00713972"/>
    <w:rsid w:val="007144F9"/>
    <w:rsid w:val="00720616"/>
    <w:rsid w:val="00721EB0"/>
    <w:rsid w:val="00722958"/>
    <w:rsid w:val="00723F60"/>
    <w:rsid w:val="007327C3"/>
    <w:rsid w:val="0073304A"/>
    <w:rsid w:val="007341DA"/>
    <w:rsid w:val="00735897"/>
    <w:rsid w:val="00735F7A"/>
    <w:rsid w:val="00737659"/>
    <w:rsid w:val="00740E48"/>
    <w:rsid w:val="00742183"/>
    <w:rsid w:val="007460A9"/>
    <w:rsid w:val="0074611C"/>
    <w:rsid w:val="00750E05"/>
    <w:rsid w:val="007523A6"/>
    <w:rsid w:val="00754929"/>
    <w:rsid w:val="007557F3"/>
    <w:rsid w:val="00757ACA"/>
    <w:rsid w:val="00762401"/>
    <w:rsid w:val="00763B3B"/>
    <w:rsid w:val="00765C97"/>
    <w:rsid w:val="007716CB"/>
    <w:rsid w:val="00773BB7"/>
    <w:rsid w:val="00773D3B"/>
    <w:rsid w:val="00773EA6"/>
    <w:rsid w:val="007744EC"/>
    <w:rsid w:val="00775F53"/>
    <w:rsid w:val="00781C02"/>
    <w:rsid w:val="00784698"/>
    <w:rsid w:val="00790352"/>
    <w:rsid w:val="0079081A"/>
    <w:rsid w:val="007A2E37"/>
    <w:rsid w:val="007A5C44"/>
    <w:rsid w:val="007A6E80"/>
    <w:rsid w:val="007A718B"/>
    <w:rsid w:val="007B16E4"/>
    <w:rsid w:val="007B34BF"/>
    <w:rsid w:val="007B3691"/>
    <w:rsid w:val="007B6D1C"/>
    <w:rsid w:val="007B7C5D"/>
    <w:rsid w:val="007C3D85"/>
    <w:rsid w:val="007C41B4"/>
    <w:rsid w:val="007C70CC"/>
    <w:rsid w:val="007D1A4D"/>
    <w:rsid w:val="007D61CA"/>
    <w:rsid w:val="007E21D5"/>
    <w:rsid w:val="007E26BF"/>
    <w:rsid w:val="007E2AF5"/>
    <w:rsid w:val="007E55B2"/>
    <w:rsid w:val="007E7583"/>
    <w:rsid w:val="007E7D34"/>
    <w:rsid w:val="007F310E"/>
    <w:rsid w:val="007F7E30"/>
    <w:rsid w:val="00805F6D"/>
    <w:rsid w:val="00810D90"/>
    <w:rsid w:val="00811F18"/>
    <w:rsid w:val="00812390"/>
    <w:rsid w:val="00813DC3"/>
    <w:rsid w:val="00814587"/>
    <w:rsid w:val="00822111"/>
    <w:rsid w:val="0082212E"/>
    <w:rsid w:val="00823301"/>
    <w:rsid w:val="00824FD3"/>
    <w:rsid w:val="0082705E"/>
    <w:rsid w:val="0083148B"/>
    <w:rsid w:val="00831F06"/>
    <w:rsid w:val="008322F0"/>
    <w:rsid w:val="00832B32"/>
    <w:rsid w:val="00840AE6"/>
    <w:rsid w:val="00842848"/>
    <w:rsid w:val="00843593"/>
    <w:rsid w:val="008449EA"/>
    <w:rsid w:val="008500CB"/>
    <w:rsid w:val="00851871"/>
    <w:rsid w:val="008526BE"/>
    <w:rsid w:val="0085657B"/>
    <w:rsid w:val="00856D25"/>
    <w:rsid w:val="00857080"/>
    <w:rsid w:val="008570AC"/>
    <w:rsid w:val="00861BCD"/>
    <w:rsid w:val="00862276"/>
    <w:rsid w:val="00863620"/>
    <w:rsid w:val="008663AC"/>
    <w:rsid w:val="00866BF5"/>
    <w:rsid w:val="008719E9"/>
    <w:rsid w:val="00871E8F"/>
    <w:rsid w:val="00875595"/>
    <w:rsid w:val="00881B67"/>
    <w:rsid w:val="0088288D"/>
    <w:rsid w:val="00882EEA"/>
    <w:rsid w:val="008867EB"/>
    <w:rsid w:val="008A07C6"/>
    <w:rsid w:val="008A1274"/>
    <w:rsid w:val="008A1EE8"/>
    <w:rsid w:val="008B0A60"/>
    <w:rsid w:val="008B183C"/>
    <w:rsid w:val="008B26A9"/>
    <w:rsid w:val="008C29A7"/>
    <w:rsid w:val="008C572C"/>
    <w:rsid w:val="008C65BE"/>
    <w:rsid w:val="008C7AF0"/>
    <w:rsid w:val="008D2B10"/>
    <w:rsid w:val="008D2C82"/>
    <w:rsid w:val="008D32D0"/>
    <w:rsid w:val="008D3B95"/>
    <w:rsid w:val="008D3FF1"/>
    <w:rsid w:val="008D6888"/>
    <w:rsid w:val="008D789C"/>
    <w:rsid w:val="008E138A"/>
    <w:rsid w:val="008E42CD"/>
    <w:rsid w:val="008E6A94"/>
    <w:rsid w:val="008E6E9E"/>
    <w:rsid w:val="008F27F2"/>
    <w:rsid w:val="008F2FD5"/>
    <w:rsid w:val="008F346B"/>
    <w:rsid w:val="008F37C8"/>
    <w:rsid w:val="008F6FFF"/>
    <w:rsid w:val="00902B55"/>
    <w:rsid w:val="00906BC3"/>
    <w:rsid w:val="0091661B"/>
    <w:rsid w:val="00916B40"/>
    <w:rsid w:val="009204ED"/>
    <w:rsid w:val="009260B2"/>
    <w:rsid w:val="00927A47"/>
    <w:rsid w:val="00936DF0"/>
    <w:rsid w:val="00937097"/>
    <w:rsid w:val="00937A15"/>
    <w:rsid w:val="00940C43"/>
    <w:rsid w:val="00940FA4"/>
    <w:rsid w:val="009424F8"/>
    <w:rsid w:val="00943A7A"/>
    <w:rsid w:val="0094677F"/>
    <w:rsid w:val="009467D6"/>
    <w:rsid w:val="00953E64"/>
    <w:rsid w:val="0095529D"/>
    <w:rsid w:val="00957C23"/>
    <w:rsid w:val="00957FFC"/>
    <w:rsid w:val="00960E02"/>
    <w:rsid w:val="00971A47"/>
    <w:rsid w:val="00982BC6"/>
    <w:rsid w:val="00985684"/>
    <w:rsid w:val="0099061E"/>
    <w:rsid w:val="00992248"/>
    <w:rsid w:val="00995E61"/>
    <w:rsid w:val="0099748A"/>
    <w:rsid w:val="009A1601"/>
    <w:rsid w:val="009A24CD"/>
    <w:rsid w:val="009A3979"/>
    <w:rsid w:val="009A3C26"/>
    <w:rsid w:val="009B0C8B"/>
    <w:rsid w:val="009B6164"/>
    <w:rsid w:val="009B762A"/>
    <w:rsid w:val="009C2221"/>
    <w:rsid w:val="009C527E"/>
    <w:rsid w:val="009C7B93"/>
    <w:rsid w:val="009C7D26"/>
    <w:rsid w:val="009D6273"/>
    <w:rsid w:val="009E02BF"/>
    <w:rsid w:val="009E10F5"/>
    <w:rsid w:val="009E1170"/>
    <w:rsid w:val="009E3084"/>
    <w:rsid w:val="009E4110"/>
    <w:rsid w:val="009E63D4"/>
    <w:rsid w:val="009E6AC5"/>
    <w:rsid w:val="009F0357"/>
    <w:rsid w:val="009F1AF9"/>
    <w:rsid w:val="009F520C"/>
    <w:rsid w:val="009F7D1A"/>
    <w:rsid w:val="00A02648"/>
    <w:rsid w:val="00A0447B"/>
    <w:rsid w:val="00A07069"/>
    <w:rsid w:val="00A11EFE"/>
    <w:rsid w:val="00A1354D"/>
    <w:rsid w:val="00A135BA"/>
    <w:rsid w:val="00A15F29"/>
    <w:rsid w:val="00A170E3"/>
    <w:rsid w:val="00A17644"/>
    <w:rsid w:val="00A17C49"/>
    <w:rsid w:val="00A20BB3"/>
    <w:rsid w:val="00A300C3"/>
    <w:rsid w:val="00A35BAE"/>
    <w:rsid w:val="00A4199A"/>
    <w:rsid w:val="00A44024"/>
    <w:rsid w:val="00A56F52"/>
    <w:rsid w:val="00A57D4A"/>
    <w:rsid w:val="00A6497B"/>
    <w:rsid w:val="00A6535E"/>
    <w:rsid w:val="00A67A04"/>
    <w:rsid w:val="00A72CC8"/>
    <w:rsid w:val="00A72EDA"/>
    <w:rsid w:val="00A74B04"/>
    <w:rsid w:val="00A7681F"/>
    <w:rsid w:val="00A82A69"/>
    <w:rsid w:val="00A82D63"/>
    <w:rsid w:val="00A92324"/>
    <w:rsid w:val="00AA12D4"/>
    <w:rsid w:val="00AA625B"/>
    <w:rsid w:val="00AB3301"/>
    <w:rsid w:val="00AB7EA9"/>
    <w:rsid w:val="00AC3094"/>
    <w:rsid w:val="00AC71FC"/>
    <w:rsid w:val="00AD07F8"/>
    <w:rsid w:val="00AD0A47"/>
    <w:rsid w:val="00AD1DD8"/>
    <w:rsid w:val="00AD5DD2"/>
    <w:rsid w:val="00AE3A58"/>
    <w:rsid w:val="00AE3BF4"/>
    <w:rsid w:val="00AE534F"/>
    <w:rsid w:val="00AE5DAF"/>
    <w:rsid w:val="00AE7217"/>
    <w:rsid w:val="00AF1609"/>
    <w:rsid w:val="00AF1DE4"/>
    <w:rsid w:val="00AF282C"/>
    <w:rsid w:val="00AF2E51"/>
    <w:rsid w:val="00AF3DE2"/>
    <w:rsid w:val="00AF6A76"/>
    <w:rsid w:val="00AF6EF5"/>
    <w:rsid w:val="00AF7186"/>
    <w:rsid w:val="00B003E8"/>
    <w:rsid w:val="00B02E0D"/>
    <w:rsid w:val="00B03FFB"/>
    <w:rsid w:val="00B05850"/>
    <w:rsid w:val="00B065BE"/>
    <w:rsid w:val="00B07C9D"/>
    <w:rsid w:val="00B17315"/>
    <w:rsid w:val="00B173D8"/>
    <w:rsid w:val="00B20FD8"/>
    <w:rsid w:val="00B242E4"/>
    <w:rsid w:val="00B24C6D"/>
    <w:rsid w:val="00B3045D"/>
    <w:rsid w:val="00B32594"/>
    <w:rsid w:val="00B3496D"/>
    <w:rsid w:val="00B353D4"/>
    <w:rsid w:val="00B43F56"/>
    <w:rsid w:val="00B44867"/>
    <w:rsid w:val="00B46905"/>
    <w:rsid w:val="00B50AD4"/>
    <w:rsid w:val="00B50DBB"/>
    <w:rsid w:val="00B51FAD"/>
    <w:rsid w:val="00B620F6"/>
    <w:rsid w:val="00B6489E"/>
    <w:rsid w:val="00B6623B"/>
    <w:rsid w:val="00B7007B"/>
    <w:rsid w:val="00B701DA"/>
    <w:rsid w:val="00B7142B"/>
    <w:rsid w:val="00B722D2"/>
    <w:rsid w:val="00B729EE"/>
    <w:rsid w:val="00B7726C"/>
    <w:rsid w:val="00B838C1"/>
    <w:rsid w:val="00BA0F1C"/>
    <w:rsid w:val="00BA330B"/>
    <w:rsid w:val="00BA5EF8"/>
    <w:rsid w:val="00BB0043"/>
    <w:rsid w:val="00BB3527"/>
    <w:rsid w:val="00BB3EC8"/>
    <w:rsid w:val="00BB53CD"/>
    <w:rsid w:val="00BB7D1D"/>
    <w:rsid w:val="00BC3DB6"/>
    <w:rsid w:val="00BC7B03"/>
    <w:rsid w:val="00BD094F"/>
    <w:rsid w:val="00BD525B"/>
    <w:rsid w:val="00BE42DF"/>
    <w:rsid w:val="00BE50BB"/>
    <w:rsid w:val="00BF1972"/>
    <w:rsid w:val="00BF651B"/>
    <w:rsid w:val="00BF6B2E"/>
    <w:rsid w:val="00BF6B5E"/>
    <w:rsid w:val="00C00A04"/>
    <w:rsid w:val="00C10AA9"/>
    <w:rsid w:val="00C11F5B"/>
    <w:rsid w:val="00C14735"/>
    <w:rsid w:val="00C250FA"/>
    <w:rsid w:val="00C3015B"/>
    <w:rsid w:val="00C30A7E"/>
    <w:rsid w:val="00C318AD"/>
    <w:rsid w:val="00C3351F"/>
    <w:rsid w:val="00C3397A"/>
    <w:rsid w:val="00C4135E"/>
    <w:rsid w:val="00C41910"/>
    <w:rsid w:val="00C41A9B"/>
    <w:rsid w:val="00C47182"/>
    <w:rsid w:val="00C50259"/>
    <w:rsid w:val="00C52326"/>
    <w:rsid w:val="00C54B4C"/>
    <w:rsid w:val="00C56494"/>
    <w:rsid w:val="00C57516"/>
    <w:rsid w:val="00C61F82"/>
    <w:rsid w:val="00C7018F"/>
    <w:rsid w:val="00C715EA"/>
    <w:rsid w:val="00C74A4E"/>
    <w:rsid w:val="00C7626D"/>
    <w:rsid w:val="00C762C0"/>
    <w:rsid w:val="00C800C8"/>
    <w:rsid w:val="00C81964"/>
    <w:rsid w:val="00C82BDB"/>
    <w:rsid w:val="00C83FD0"/>
    <w:rsid w:val="00C84B6D"/>
    <w:rsid w:val="00C92A42"/>
    <w:rsid w:val="00C93A09"/>
    <w:rsid w:val="00C967A7"/>
    <w:rsid w:val="00CA0223"/>
    <w:rsid w:val="00CA0FDF"/>
    <w:rsid w:val="00CA0FED"/>
    <w:rsid w:val="00CA157F"/>
    <w:rsid w:val="00CA400F"/>
    <w:rsid w:val="00CA53A3"/>
    <w:rsid w:val="00CA6AA1"/>
    <w:rsid w:val="00CA77F1"/>
    <w:rsid w:val="00CB0BA9"/>
    <w:rsid w:val="00CB227F"/>
    <w:rsid w:val="00CB31D9"/>
    <w:rsid w:val="00CB766A"/>
    <w:rsid w:val="00CC50B1"/>
    <w:rsid w:val="00CC6450"/>
    <w:rsid w:val="00CC6751"/>
    <w:rsid w:val="00CD3546"/>
    <w:rsid w:val="00CD3A74"/>
    <w:rsid w:val="00CD60D7"/>
    <w:rsid w:val="00CD6A5B"/>
    <w:rsid w:val="00CE1169"/>
    <w:rsid w:val="00CE23B8"/>
    <w:rsid w:val="00CE3318"/>
    <w:rsid w:val="00CE56FA"/>
    <w:rsid w:val="00CF3993"/>
    <w:rsid w:val="00CF6755"/>
    <w:rsid w:val="00CF789D"/>
    <w:rsid w:val="00CF7F62"/>
    <w:rsid w:val="00D02CB0"/>
    <w:rsid w:val="00D056D2"/>
    <w:rsid w:val="00D05826"/>
    <w:rsid w:val="00D05B36"/>
    <w:rsid w:val="00D14665"/>
    <w:rsid w:val="00D24AD7"/>
    <w:rsid w:val="00D260BD"/>
    <w:rsid w:val="00D268DD"/>
    <w:rsid w:val="00D31A4B"/>
    <w:rsid w:val="00D33115"/>
    <w:rsid w:val="00D339B9"/>
    <w:rsid w:val="00D36B82"/>
    <w:rsid w:val="00D42120"/>
    <w:rsid w:val="00D42711"/>
    <w:rsid w:val="00D45C7A"/>
    <w:rsid w:val="00D46621"/>
    <w:rsid w:val="00D46D9D"/>
    <w:rsid w:val="00D4709B"/>
    <w:rsid w:val="00D509AA"/>
    <w:rsid w:val="00D5417F"/>
    <w:rsid w:val="00D57A71"/>
    <w:rsid w:val="00D64855"/>
    <w:rsid w:val="00D70720"/>
    <w:rsid w:val="00D747CD"/>
    <w:rsid w:val="00D80511"/>
    <w:rsid w:val="00D81D03"/>
    <w:rsid w:val="00D87D3F"/>
    <w:rsid w:val="00D909EC"/>
    <w:rsid w:val="00D90A3F"/>
    <w:rsid w:val="00D94517"/>
    <w:rsid w:val="00D94D33"/>
    <w:rsid w:val="00D97334"/>
    <w:rsid w:val="00D97EA3"/>
    <w:rsid w:val="00DA3E96"/>
    <w:rsid w:val="00DA444D"/>
    <w:rsid w:val="00DB0FA6"/>
    <w:rsid w:val="00DB31F7"/>
    <w:rsid w:val="00DB3C97"/>
    <w:rsid w:val="00DB6259"/>
    <w:rsid w:val="00DB7812"/>
    <w:rsid w:val="00DC6388"/>
    <w:rsid w:val="00DC6FE8"/>
    <w:rsid w:val="00DD0451"/>
    <w:rsid w:val="00DD35FD"/>
    <w:rsid w:val="00DD6EAE"/>
    <w:rsid w:val="00DD78C5"/>
    <w:rsid w:val="00DE3252"/>
    <w:rsid w:val="00DE697E"/>
    <w:rsid w:val="00DF4831"/>
    <w:rsid w:val="00DF4E32"/>
    <w:rsid w:val="00E00583"/>
    <w:rsid w:val="00E00D15"/>
    <w:rsid w:val="00E04C63"/>
    <w:rsid w:val="00E057E9"/>
    <w:rsid w:val="00E05DC7"/>
    <w:rsid w:val="00E12045"/>
    <w:rsid w:val="00E1320A"/>
    <w:rsid w:val="00E15637"/>
    <w:rsid w:val="00E17260"/>
    <w:rsid w:val="00E2026C"/>
    <w:rsid w:val="00E21B09"/>
    <w:rsid w:val="00E23164"/>
    <w:rsid w:val="00E24BF3"/>
    <w:rsid w:val="00E26025"/>
    <w:rsid w:val="00E26199"/>
    <w:rsid w:val="00E30189"/>
    <w:rsid w:val="00E3130A"/>
    <w:rsid w:val="00E33BFF"/>
    <w:rsid w:val="00E3402D"/>
    <w:rsid w:val="00E4773E"/>
    <w:rsid w:val="00E57926"/>
    <w:rsid w:val="00E602FB"/>
    <w:rsid w:val="00E61BF0"/>
    <w:rsid w:val="00E6304A"/>
    <w:rsid w:val="00E666DA"/>
    <w:rsid w:val="00E7032B"/>
    <w:rsid w:val="00E71026"/>
    <w:rsid w:val="00E714E9"/>
    <w:rsid w:val="00E72FA1"/>
    <w:rsid w:val="00E75096"/>
    <w:rsid w:val="00E80471"/>
    <w:rsid w:val="00E81282"/>
    <w:rsid w:val="00E837B6"/>
    <w:rsid w:val="00E84D33"/>
    <w:rsid w:val="00E90749"/>
    <w:rsid w:val="00E91999"/>
    <w:rsid w:val="00E930FB"/>
    <w:rsid w:val="00E963F2"/>
    <w:rsid w:val="00EA1243"/>
    <w:rsid w:val="00EA1D4D"/>
    <w:rsid w:val="00EA4AB0"/>
    <w:rsid w:val="00EB0371"/>
    <w:rsid w:val="00EB0625"/>
    <w:rsid w:val="00EB3372"/>
    <w:rsid w:val="00EB3F24"/>
    <w:rsid w:val="00EB4029"/>
    <w:rsid w:val="00EB46E8"/>
    <w:rsid w:val="00EC4151"/>
    <w:rsid w:val="00EC419F"/>
    <w:rsid w:val="00EC5486"/>
    <w:rsid w:val="00EC5765"/>
    <w:rsid w:val="00EC62D3"/>
    <w:rsid w:val="00EC77D5"/>
    <w:rsid w:val="00ED1BAA"/>
    <w:rsid w:val="00ED23B2"/>
    <w:rsid w:val="00ED336F"/>
    <w:rsid w:val="00ED3792"/>
    <w:rsid w:val="00ED4BA7"/>
    <w:rsid w:val="00ED4C4A"/>
    <w:rsid w:val="00EE0903"/>
    <w:rsid w:val="00EE5EA2"/>
    <w:rsid w:val="00EE70FB"/>
    <w:rsid w:val="00EF32C9"/>
    <w:rsid w:val="00EF4DA6"/>
    <w:rsid w:val="00EF53EF"/>
    <w:rsid w:val="00EF7233"/>
    <w:rsid w:val="00F00F53"/>
    <w:rsid w:val="00F015BC"/>
    <w:rsid w:val="00F037EF"/>
    <w:rsid w:val="00F0594A"/>
    <w:rsid w:val="00F11F3E"/>
    <w:rsid w:val="00F20090"/>
    <w:rsid w:val="00F22176"/>
    <w:rsid w:val="00F224F9"/>
    <w:rsid w:val="00F27B2C"/>
    <w:rsid w:val="00F3045B"/>
    <w:rsid w:val="00F339AF"/>
    <w:rsid w:val="00F33C7A"/>
    <w:rsid w:val="00F40040"/>
    <w:rsid w:val="00F40071"/>
    <w:rsid w:val="00F40BE5"/>
    <w:rsid w:val="00F42A0D"/>
    <w:rsid w:val="00F52965"/>
    <w:rsid w:val="00F54272"/>
    <w:rsid w:val="00F54CC8"/>
    <w:rsid w:val="00F66625"/>
    <w:rsid w:val="00F67AA0"/>
    <w:rsid w:val="00F7039A"/>
    <w:rsid w:val="00F745A7"/>
    <w:rsid w:val="00F766C9"/>
    <w:rsid w:val="00F81456"/>
    <w:rsid w:val="00F85DC8"/>
    <w:rsid w:val="00F86E9D"/>
    <w:rsid w:val="00F925F4"/>
    <w:rsid w:val="00F935DA"/>
    <w:rsid w:val="00F94230"/>
    <w:rsid w:val="00F96E74"/>
    <w:rsid w:val="00F97134"/>
    <w:rsid w:val="00FA0E13"/>
    <w:rsid w:val="00FA470D"/>
    <w:rsid w:val="00FA7859"/>
    <w:rsid w:val="00FB1135"/>
    <w:rsid w:val="00FB2FA9"/>
    <w:rsid w:val="00FB4E56"/>
    <w:rsid w:val="00FB6981"/>
    <w:rsid w:val="00FC1798"/>
    <w:rsid w:val="00FC3260"/>
    <w:rsid w:val="00FC5884"/>
    <w:rsid w:val="00FC5929"/>
    <w:rsid w:val="00FD0C78"/>
    <w:rsid w:val="00FD1733"/>
    <w:rsid w:val="00FD3977"/>
    <w:rsid w:val="00FE3203"/>
    <w:rsid w:val="00FE4396"/>
    <w:rsid w:val="00FE4861"/>
    <w:rsid w:val="00FE7156"/>
    <w:rsid w:val="00FF2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5928"/>
  <w15:docId w15:val="{BB4A3FA5-FFB0-4EC6-8097-E96760B6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link w:val="H1GChar"/>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2E49C5"/>
    <w:rPr>
      <w:lang w:val="fr-CH" w:eastAsia="en-US"/>
    </w:rPr>
  </w:style>
  <w:style w:type="character" w:customStyle="1" w:styleId="FootnoteTextChar">
    <w:name w:val="Footnote Text Char"/>
    <w:aliases w:val="5_G Char"/>
    <w:link w:val="FootnoteText"/>
    <w:uiPriority w:val="99"/>
    <w:rsid w:val="002E49C5"/>
    <w:rPr>
      <w:sz w:val="18"/>
      <w:lang w:val="fr-CH" w:eastAsia="en-US"/>
    </w:rPr>
  </w:style>
  <w:style w:type="character" w:customStyle="1" w:styleId="FooterChar">
    <w:name w:val="Footer Char"/>
    <w:aliases w:val="3_G Char"/>
    <w:link w:val="Footer"/>
    <w:rsid w:val="002E49C5"/>
    <w:rPr>
      <w:sz w:val="16"/>
      <w:lang w:val="fr-CH" w:eastAsia="en-US"/>
    </w:rPr>
  </w:style>
  <w:style w:type="character" w:customStyle="1" w:styleId="spelle">
    <w:name w:val="spelle"/>
    <w:rsid w:val="002E49C5"/>
  </w:style>
  <w:style w:type="paragraph" w:styleId="BalloonText">
    <w:name w:val="Balloon Text"/>
    <w:basedOn w:val="Normal"/>
    <w:semiHidden/>
    <w:rsid w:val="005A2CC3"/>
    <w:rPr>
      <w:rFonts w:ascii="Tahoma" w:hAnsi="Tahoma" w:cs="Tahoma"/>
      <w:sz w:val="16"/>
      <w:szCs w:val="16"/>
    </w:rPr>
  </w:style>
  <w:style w:type="paragraph" w:styleId="CommentSubject">
    <w:name w:val="annotation subject"/>
    <w:basedOn w:val="CommentText"/>
    <w:next w:val="CommentText"/>
    <w:semiHidden/>
    <w:rsid w:val="009E16A2"/>
    <w:rPr>
      <w:b/>
      <w:bCs/>
    </w:rPr>
  </w:style>
  <w:style w:type="paragraph" w:customStyle="1" w:styleId="Default">
    <w:name w:val="Default"/>
    <w:rsid w:val="00734278"/>
    <w:pPr>
      <w:autoSpaceDE w:val="0"/>
      <w:autoSpaceDN w:val="0"/>
      <w:adjustRightInd w:val="0"/>
    </w:pPr>
    <w:rPr>
      <w:rFonts w:ascii="Arial" w:eastAsia="Calibri" w:hAnsi="Arial" w:cs="Arial"/>
      <w:color w:val="000000"/>
      <w:sz w:val="24"/>
      <w:szCs w:val="24"/>
    </w:rPr>
  </w:style>
  <w:style w:type="character" w:customStyle="1" w:styleId="H1GChar">
    <w:name w:val="_ H_1_G Char"/>
    <w:link w:val="H1G"/>
    <w:rsid w:val="00C77BF6"/>
    <w:rPr>
      <w:b/>
      <w:sz w:val="24"/>
      <w:lang w:val="fr-CH" w:eastAsia="en-US"/>
    </w:rPr>
  </w:style>
  <w:style w:type="paragraph" w:styleId="ListParagraph">
    <w:name w:val="List Paragraph"/>
    <w:basedOn w:val="Normal"/>
    <w:qFormat/>
    <w:rsid w:val="002C7068"/>
    <w:pPr>
      <w:suppressAutoHyphens w:val="0"/>
      <w:spacing w:after="200" w:line="276" w:lineRule="auto"/>
      <w:ind w:left="720"/>
      <w:contextualSpacing/>
    </w:pPr>
    <w:rPr>
      <w:rFonts w:ascii="Calibri" w:hAnsi="Calibri"/>
      <w:sz w:val="22"/>
      <w:szCs w:val="22"/>
      <w:lang w:val="is-IS"/>
    </w:rPr>
  </w:style>
  <w:style w:type="paragraph" w:customStyle="1" w:styleId="H23">
    <w:name w:val="_ H_2/3"/>
    <w:basedOn w:val="Normal"/>
    <w:next w:val="SingleTxt"/>
    <w:rsid w:val="002C7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2C7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1442F3"/>
    <w:rPr>
      <w:lang w:eastAsia="en-US"/>
    </w:rPr>
  </w:style>
  <w:style w:type="paragraph" w:customStyle="1" w:styleId="H1">
    <w:name w:val="_ H_1"/>
    <w:basedOn w:val="Normal"/>
    <w:next w:val="SingleTxt"/>
    <w:rsid w:val="00C564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algun Gothic"/>
      <w:b/>
      <w:spacing w:val="4"/>
      <w:w w:val="103"/>
      <w:kern w:val="14"/>
      <w:sz w:val="24"/>
    </w:rPr>
  </w:style>
  <w:style w:type="paragraph" w:customStyle="1" w:styleId="HCh">
    <w:name w:val="_ H _Ch"/>
    <w:basedOn w:val="H1"/>
    <w:next w:val="SingleTxt"/>
    <w:rsid w:val="00C56494"/>
    <w:pPr>
      <w:spacing w:line="300" w:lineRule="exact"/>
      <w:ind w:left="0" w:right="0" w:firstLine="0"/>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063">
      <w:bodyDiv w:val="1"/>
      <w:marLeft w:val="0"/>
      <w:marRight w:val="0"/>
      <w:marTop w:val="0"/>
      <w:marBottom w:val="0"/>
      <w:divBdr>
        <w:top w:val="none" w:sz="0" w:space="0" w:color="auto"/>
        <w:left w:val="none" w:sz="0" w:space="0" w:color="auto"/>
        <w:bottom w:val="none" w:sz="0" w:space="0" w:color="auto"/>
        <w:right w:val="none" w:sz="0" w:space="0" w:color="auto"/>
      </w:divBdr>
    </w:div>
    <w:div w:id="1422871380">
      <w:bodyDiv w:val="1"/>
      <w:marLeft w:val="0"/>
      <w:marRight w:val="0"/>
      <w:marTop w:val="0"/>
      <w:marBottom w:val="0"/>
      <w:divBdr>
        <w:top w:val="none" w:sz="0" w:space="0" w:color="auto"/>
        <w:left w:val="none" w:sz="0" w:space="0" w:color="auto"/>
        <w:bottom w:val="none" w:sz="0" w:space="0" w:color="auto"/>
        <w:right w:val="none" w:sz="0" w:space="0" w:color="auto"/>
      </w:divBdr>
    </w:div>
    <w:div w:id="1730952597">
      <w:bodyDiv w:val="1"/>
      <w:marLeft w:val="0"/>
      <w:marRight w:val="0"/>
      <w:marTop w:val="0"/>
      <w:marBottom w:val="0"/>
      <w:divBdr>
        <w:top w:val="none" w:sz="0" w:space="0" w:color="auto"/>
        <w:left w:val="none" w:sz="0" w:space="0" w:color="auto"/>
        <w:bottom w:val="none" w:sz="0" w:space="0" w:color="auto"/>
        <w:right w:val="none" w:sz="0" w:space="0" w:color="auto"/>
      </w:divBdr>
    </w:div>
    <w:div w:id="2098086563">
      <w:bodyDiv w:val="1"/>
      <w:marLeft w:val="0"/>
      <w:marRight w:val="0"/>
      <w:marTop w:val="0"/>
      <w:marBottom w:val="0"/>
      <w:divBdr>
        <w:top w:val="none" w:sz="0" w:space="0" w:color="auto"/>
        <w:left w:val="none" w:sz="0" w:space="0" w:color="auto"/>
        <w:bottom w:val="none" w:sz="0" w:space="0" w:color="auto"/>
        <w:right w:val="none" w:sz="0" w:space="0" w:color="auto"/>
      </w:divBdr>
    </w:div>
    <w:div w:id="2124882268">
      <w:bodyDiv w:val="1"/>
      <w:marLeft w:val="0"/>
      <w:marRight w:val="0"/>
      <w:marTop w:val="0"/>
      <w:marBottom w:val="0"/>
      <w:divBdr>
        <w:top w:val="none" w:sz="0" w:space="0" w:color="auto"/>
        <w:left w:val="none" w:sz="0" w:space="0" w:color="auto"/>
        <w:bottom w:val="none" w:sz="0" w:space="0" w:color="auto"/>
        <w:right w:val="none" w:sz="0" w:space="0" w:color="auto"/>
      </w:divBdr>
      <w:divsChild>
        <w:div w:id="964656183">
          <w:marLeft w:val="0"/>
          <w:marRight w:val="0"/>
          <w:marTop w:val="0"/>
          <w:marBottom w:val="0"/>
          <w:divBdr>
            <w:top w:val="none" w:sz="0" w:space="0" w:color="auto"/>
            <w:left w:val="none" w:sz="0" w:space="0" w:color="auto"/>
            <w:bottom w:val="none" w:sz="0" w:space="0" w:color="auto"/>
            <w:right w:val="none" w:sz="0" w:space="0" w:color="auto"/>
          </w:divBdr>
        </w:div>
        <w:div w:id="200154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J:\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1F3C-1932-45BC-8507-428C1511B3CD}">
  <ds:schemaRefs>
    <ds:schemaRef ds:uri="http://schemas.openxmlformats.org/officeDocument/2006/bibliography"/>
  </ds:schemaRefs>
</ds:datastoreItem>
</file>

<file path=customXml/itemProps2.xml><?xml version="1.0" encoding="utf-8"?>
<ds:datastoreItem xmlns:ds="http://schemas.openxmlformats.org/officeDocument/2006/customXml" ds:itemID="{0FEE7446-7B6F-411B-AB14-90F8323A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Template>
  <TotalTime>0</TotalTime>
  <Pages>7</Pages>
  <Words>2731</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Danielle KIRBY</dc:creator>
  <cp:keywords>HRI.MC.2015.6</cp:keywords>
  <cp:lastModifiedBy>Phil Lynch</cp:lastModifiedBy>
  <cp:revision>2</cp:revision>
  <cp:lastPrinted>2015-08-04T08:48:00Z</cp:lastPrinted>
  <dcterms:created xsi:type="dcterms:W3CDTF">2015-08-26T09:15:00Z</dcterms:created>
  <dcterms:modified xsi:type="dcterms:W3CDTF">2015-08-26T09:15:00Z</dcterms:modified>
</cp:coreProperties>
</file>