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2CA5C7" w14:textId="77777777" w:rsidR="00130F4B" w:rsidRPr="00130F4B" w:rsidRDefault="00130F4B" w:rsidP="00130F4B">
      <w:pPr>
        <w:spacing w:before="120"/>
        <w:rPr>
          <w:b/>
          <w:sz w:val="24"/>
          <w:szCs w:val="24"/>
        </w:rPr>
      </w:pPr>
      <w:bookmarkStart w:id="0" w:name="_GoBack"/>
      <w:bookmarkEnd w:id="0"/>
      <w:r w:rsidRPr="00130F4B">
        <w:rPr>
          <w:b/>
          <w:sz w:val="24"/>
          <w:szCs w:val="24"/>
        </w:rPr>
        <w:t>Committee on Economic, Social and Cultural Rights</w:t>
      </w:r>
    </w:p>
    <w:p w14:paraId="68E0ABBE" w14:textId="77777777" w:rsidR="00693289" w:rsidRDefault="00130F4B" w:rsidP="00693289">
      <w:pPr>
        <w:pStyle w:val="HChG"/>
        <w:ind w:firstLine="0"/>
      </w:pPr>
      <w:r w:rsidRPr="000547EC">
        <w:t>Human Rights Defenders and Economic, Social and Cultural Rights</w:t>
      </w:r>
    </w:p>
    <w:p w14:paraId="0E2979CF" w14:textId="77777777" w:rsidR="00130F4B" w:rsidRPr="00693289" w:rsidRDefault="00693289" w:rsidP="00693289">
      <w:pPr>
        <w:pStyle w:val="H1G"/>
        <w:ind w:firstLine="0"/>
      </w:pPr>
      <w:r w:rsidRPr="00130F4B">
        <w:t>Statement by the Committee on Economic, Social and Cultural Rights</w:t>
      </w:r>
      <w:r w:rsidRPr="00445661">
        <w:rPr>
          <w:sz w:val="18"/>
          <w:vertAlign w:val="superscript"/>
        </w:rPr>
        <w:footnoteReference w:customMarkFollows="1" w:id="1"/>
        <w:t>*</w:t>
      </w:r>
    </w:p>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0F4B" w:rsidRPr="00130F4B" w14:paraId="7DB35C62" w14:textId="77777777" w:rsidTr="002A676B">
        <w:trPr>
          <w:cantSplit/>
          <w:trHeight w:hRule="exact" w:val="851"/>
        </w:trPr>
        <w:tc>
          <w:tcPr>
            <w:tcW w:w="1276" w:type="dxa"/>
            <w:tcBorders>
              <w:bottom w:val="single" w:sz="4" w:space="0" w:color="auto"/>
            </w:tcBorders>
            <w:vAlign w:val="bottom"/>
          </w:tcPr>
          <w:p w14:paraId="6832AF3F" w14:textId="77777777" w:rsidR="00130F4B" w:rsidRPr="00130F4B" w:rsidRDefault="00130F4B" w:rsidP="00130F4B">
            <w:pPr>
              <w:spacing w:after="80"/>
            </w:pPr>
          </w:p>
        </w:tc>
        <w:tc>
          <w:tcPr>
            <w:tcW w:w="2268" w:type="dxa"/>
            <w:tcBorders>
              <w:bottom w:val="single" w:sz="4" w:space="0" w:color="auto"/>
            </w:tcBorders>
            <w:vAlign w:val="bottom"/>
          </w:tcPr>
          <w:p w14:paraId="7B79F4CD" w14:textId="77777777" w:rsidR="00130F4B" w:rsidRPr="00130F4B" w:rsidRDefault="00130F4B" w:rsidP="00130F4B">
            <w:pPr>
              <w:spacing w:after="80" w:line="300" w:lineRule="exact"/>
              <w:rPr>
                <w:b/>
                <w:sz w:val="24"/>
                <w:szCs w:val="24"/>
              </w:rPr>
            </w:pPr>
          </w:p>
        </w:tc>
        <w:tc>
          <w:tcPr>
            <w:tcW w:w="6095" w:type="dxa"/>
            <w:gridSpan w:val="2"/>
            <w:tcBorders>
              <w:bottom w:val="single" w:sz="4" w:space="0" w:color="auto"/>
            </w:tcBorders>
            <w:vAlign w:val="bottom"/>
          </w:tcPr>
          <w:p w14:paraId="10B1526A" w14:textId="77777777" w:rsidR="00130F4B" w:rsidRPr="00130F4B" w:rsidRDefault="00130F4B" w:rsidP="00130F4B">
            <w:pPr>
              <w:jc w:val="right"/>
            </w:pPr>
            <w:r w:rsidRPr="00130F4B">
              <w:rPr>
                <w:sz w:val="40"/>
              </w:rPr>
              <w:t>E</w:t>
            </w:r>
            <w:r w:rsidRPr="00130F4B">
              <w:t>/C.12/2016/</w:t>
            </w:r>
            <w:r>
              <w:t>2</w:t>
            </w:r>
          </w:p>
        </w:tc>
      </w:tr>
      <w:tr w:rsidR="00130F4B" w:rsidRPr="00130F4B" w14:paraId="1C312BED" w14:textId="77777777" w:rsidTr="002A676B">
        <w:trPr>
          <w:cantSplit/>
          <w:trHeight w:hRule="exact" w:val="2835"/>
        </w:trPr>
        <w:tc>
          <w:tcPr>
            <w:tcW w:w="1276" w:type="dxa"/>
            <w:tcBorders>
              <w:top w:val="single" w:sz="4" w:space="0" w:color="auto"/>
              <w:bottom w:val="single" w:sz="12" w:space="0" w:color="auto"/>
            </w:tcBorders>
          </w:tcPr>
          <w:p w14:paraId="64EC1E6D" w14:textId="77777777" w:rsidR="00130F4B" w:rsidRPr="00130F4B" w:rsidRDefault="00130F4B" w:rsidP="00130F4B">
            <w:pPr>
              <w:spacing w:before="120"/>
            </w:pPr>
          </w:p>
        </w:tc>
        <w:tc>
          <w:tcPr>
            <w:tcW w:w="5528" w:type="dxa"/>
            <w:gridSpan w:val="2"/>
            <w:tcBorders>
              <w:top w:val="single" w:sz="4" w:space="0" w:color="auto"/>
              <w:bottom w:val="single" w:sz="12" w:space="0" w:color="auto"/>
            </w:tcBorders>
          </w:tcPr>
          <w:p w14:paraId="51581B21" w14:textId="77777777" w:rsidR="00130F4B" w:rsidRPr="00130F4B" w:rsidRDefault="00FF59D6" w:rsidP="00130F4B">
            <w:pPr>
              <w:spacing w:before="120" w:line="420" w:lineRule="exact"/>
              <w:rPr>
                <w:sz w:val="40"/>
                <w:szCs w:val="40"/>
              </w:rPr>
            </w:pPr>
            <w:r>
              <w:rPr>
                <w:b/>
                <w:sz w:val="40"/>
                <w:szCs w:val="40"/>
              </w:rPr>
              <w:t>Advance Unedited Version</w:t>
            </w:r>
          </w:p>
        </w:tc>
        <w:tc>
          <w:tcPr>
            <w:tcW w:w="2835" w:type="dxa"/>
            <w:tcBorders>
              <w:top w:val="single" w:sz="4" w:space="0" w:color="auto"/>
              <w:bottom w:val="single" w:sz="12" w:space="0" w:color="auto"/>
            </w:tcBorders>
          </w:tcPr>
          <w:p w14:paraId="3C15B188" w14:textId="77777777" w:rsidR="00130F4B" w:rsidRPr="00130F4B" w:rsidRDefault="00130F4B" w:rsidP="00130F4B">
            <w:pPr>
              <w:spacing w:before="240" w:line="240" w:lineRule="exact"/>
            </w:pPr>
            <w:r w:rsidRPr="00130F4B">
              <w:t>Distr.: General</w:t>
            </w:r>
          </w:p>
          <w:p w14:paraId="27488181" w14:textId="77777777" w:rsidR="00130F4B" w:rsidRPr="00130F4B" w:rsidRDefault="006C5B4A" w:rsidP="00130F4B">
            <w:pPr>
              <w:spacing w:line="240" w:lineRule="exact"/>
            </w:pPr>
            <w:r>
              <w:t>7</w:t>
            </w:r>
            <w:r w:rsidR="00130F4B">
              <w:t xml:space="preserve"> October</w:t>
            </w:r>
            <w:r w:rsidR="00130F4B" w:rsidRPr="00130F4B">
              <w:t xml:space="preserve"> 2016</w:t>
            </w:r>
          </w:p>
          <w:p w14:paraId="239CF633" w14:textId="77777777" w:rsidR="00130F4B" w:rsidRPr="00130F4B" w:rsidRDefault="00130F4B" w:rsidP="00130F4B">
            <w:pPr>
              <w:spacing w:line="240" w:lineRule="exact"/>
            </w:pPr>
          </w:p>
          <w:p w14:paraId="579DCF2E" w14:textId="77777777" w:rsidR="00130F4B" w:rsidRDefault="00130F4B" w:rsidP="00130F4B">
            <w:r w:rsidRPr="00130F4B">
              <w:t>Original: English</w:t>
            </w:r>
          </w:p>
          <w:p w14:paraId="5C21EA95" w14:textId="77777777" w:rsidR="00130F4B" w:rsidRPr="00693289" w:rsidRDefault="00130F4B" w:rsidP="00693289">
            <w:pPr>
              <w:rPr>
                <w:i/>
              </w:rPr>
            </w:pPr>
            <w:r w:rsidRPr="00130F4B">
              <w:rPr>
                <w:i/>
              </w:rPr>
              <w:t>(Translated from Spanish)</w:t>
            </w:r>
          </w:p>
        </w:tc>
      </w:tr>
    </w:tbl>
    <w:p w14:paraId="256ED5C0" w14:textId="77777777" w:rsidR="0042419F" w:rsidRPr="000547EC" w:rsidRDefault="006C6A01" w:rsidP="0086281B">
      <w:pPr>
        <w:pStyle w:val="SingleTxtG"/>
        <w:numPr>
          <w:ilvl w:val="0"/>
          <w:numId w:val="9"/>
        </w:numPr>
        <w:ind w:left="1134" w:firstLine="0"/>
      </w:pPr>
      <w:r w:rsidRPr="000547EC">
        <w:t xml:space="preserve">The contribution of civil society is essential to the effective </w:t>
      </w:r>
      <w:r w:rsidR="00B57FDC" w:rsidRPr="000547EC">
        <w:t xml:space="preserve">promotion, </w:t>
      </w:r>
      <w:r w:rsidRPr="000547EC">
        <w:t>protection and realization of economic, social and cultural rights</w:t>
      </w:r>
      <w:r w:rsidR="00B57FDC" w:rsidRPr="000547EC">
        <w:t>, since</w:t>
      </w:r>
      <w:r w:rsidR="00EC12EE">
        <w:t xml:space="preserve"> </w:t>
      </w:r>
      <w:r w:rsidRPr="000547EC">
        <w:t xml:space="preserve">it </w:t>
      </w:r>
      <w:r w:rsidR="00B6795B" w:rsidRPr="000547EC">
        <w:t xml:space="preserve">plays </w:t>
      </w:r>
      <w:r w:rsidRPr="000547EC">
        <w:t>a</w:t>
      </w:r>
      <w:r w:rsidR="00B57FDC" w:rsidRPr="000547EC">
        <w:t xml:space="preserve">n important </w:t>
      </w:r>
      <w:r w:rsidRPr="000547EC">
        <w:t>role in monitoring and evaluating Stat</w:t>
      </w:r>
      <w:r w:rsidR="00840B35" w:rsidRPr="000547EC">
        <w:t>e</w:t>
      </w:r>
      <w:r w:rsidRPr="000547EC">
        <w:t xml:space="preserve"> parties’ compliance with the International Covenant on Economic, Social and Cultural Rights. In recognition of this </w:t>
      </w:r>
      <w:r w:rsidR="00B57FDC" w:rsidRPr="000547EC">
        <w:t>role</w:t>
      </w:r>
      <w:r w:rsidRPr="000547EC">
        <w:t>,</w:t>
      </w:r>
      <w:r w:rsidR="00111E90" w:rsidRPr="000547EC">
        <w:t xml:space="preserve"> </w:t>
      </w:r>
      <w:r w:rsidRPr="000547EC">
        <w:t>t</w:t>
      </w:r>
      <w:r w:rsidR="0042419F" w:rsidRPr="000547EC">
        <w:t xml:space="preserve">he Committee on Economic, Social and Cultural Rights was the first treaty body to give </w:t>
      </w:r>
      <w:r w:rsidR="00B57FDC" w:rsidRPr="000547EC">
        <w:t xml:space="preserve">all </w:t>
      </w:r>
      <w:r w:rsidR="0042419F" w:rsidRPr="000547EC">
        <w:t xml:space="preserve">non-governmental organizations the opportunity to submit written and oral statements on issues related to the enjoyment of Covenant rights in a </w:t>
      </w:r>
      <w:r w:rsidR="00B57FDC" w:rsidRPr="000547EC">
        <w:t xml:space="preserve">given </w:t>
      </w:r>
      <w:r w:rsidR="0042419F" w:rsidRPr="000547EC">
        <w:t xml:space="preserve">country. </w:t>
      </w:r>
      <w:r w:rsidR="00B57FDC" w:rsidRPr="000547EC">
        <w:t xml:space="preserve">It has been consistently </w:t>
      </w:r>
      <w:r w:rsidR="000547EC">
        <w:t>encouraging States parties</w:t>
      </w:r>
      <w:r w:rsidR="00B57FDC" w:rsidRPr="000547EC">
        <w:t xml:space="preserve"> to continue </w:t>
      </w:r>
      <w:r w:rsidR="000547EC">
        <w:t>their</w:t>
      </w:r>
      <w:r w:rsidR="00B57FDC" w:rsidRPr="000547EC">
        <w:t xml:space="preserve"> engagement with non-governmental organizations, human rights defenders and other members of civil society throughout the entire reporting process under the Covenant.</w:t>
      </w:r>
    </w:p>
    <w:p w14:paraId="280AF880" w14:textId="77777777" w:rsidR="0042419F" w:rsidRPr="000547EC" w:rsidRDefault="0042419F" w:rsidP="0086281B">
      <w:pPr>
        <w:pStyle w:val="SingleTxtG"/>
        <w:numPr>
          <w:ilvl w:val="0"/>
          <w:numId w:val="9"/>
        </w:numPr>
        <w:ind w:left="1134" w:firstLine="0"/>
      </w:pPr>
      <w:r w:rsidRPr="000547EC">
        <w:t xml:space="preserve">The active involvement of </w:t>
      </w:r>
      <w:r w:rsidR="00F36CC9" w:rsidRPr="000547EC">
        <w:t>civil society</w:t>
      </w:r>
      <w:r w:rsidRPr="000547EC">
        <w:t xml:space="preserve"> in the work of the Committee has also proved essential for the wide dissemination, at the national and local levels, of information about the Covenant and the Committee’s work. In many cases, non-governmental organizations have attracted considerable media attention in their respective countries following the adoption</w:t>
      </w:r>
      <w:r w:rsidR="00B57FDC" w:rsidRPr="000547EC">
        <w:t xml:space="preserve"> by the Committee</w:t>
      </w:r>
      <w:r w:rsidRPr="000547EC">
        <w:t xml:space="preserve"> of concluding observations concerning the States in question. </w:t>
      </w:r>
    </w:p>
    <w:p w14:paraId="47EC007F" w14:textId="77777777" w:rsidR="0042419F" w:rsidRPr="000547EC" w:rsidRDefault="00840B35" w:rsidP="0086281B">
      <w:pPr>
        <w:pStyle w:val="SingleTxtG"/>
        <w:numPr>
          <w:ilvl w:val="0"/>
          <w:numId w:val="9"/>
        </w:numPr>
        <w:ind w:left="1134" w:firstLine="0"/>
      </w:pPr>
      <w:r w:rsidRPr="000547EC">
        <w:t>As a</w:t>
      </w:r>
      <w:r w:rsidR="002567EB" w:rsidRPr="000547EC">
        <w:t xml:space="preserve">n element </w:t>
      </w:r>
      <w:r w:rsidRPr="000547EC">
        <w:t xml:space="preserve">of </w:t>
      </w:r>
      <w:r w:rsidR="006722E4" w:rsidRPr="000547EC">
        <w:t>civil society, h</w:t>
      </w:r>
      <w:r w:rsidR="006C6A01" w:rsidRPr="000547EC">
        <w:t>uman rights defenders</w:t>
      </w:r>
      <w:r w:rsidR="006722E4" w:rsidRPr="000547EC">
        <w:t xml:space="preserve"> can be any individual or group working to protect and promote human rights, including the rights enshrined in the Covenant</w:t>
      </w:r>
      <w:r w:rsidR="00111E90" w:rsidRPr="000547EC">
        <w:t xml:space="preserve">. </w:t>
      </w:r>
      <w:r w:rsidR="00B6795B" w:rsidRPr="000547EC">
        <w:t xml:space="preserve">They can </w:t>
      </w:r>
      <w:r w:rsidR="0042419F" w:rsidRPr="000547EC">
        <w:t xml:space="preserve">influence the development of public policies and are </w:t>
      </w:r>
      <w:r w:rsidR="00B57FDC" w:rsidRPr="000547EC">
        <w:t xml:space="preserve">essential </w:t>
      </w:r>
      <w:r w:rsidR="0042419F" w:rsidRPr="000547EC">
        <w:t xml:space="preserve">l in identifying </w:t>
      </w:r>
      <w:r w:rsidR="006722E4" w:rsidRPr="000547EC">
        <w:t xml:space="preserve">human rights </w:t>
      </w:r>
      <w:r w:rsidR="0042419F" w:rsidRPr="000547EC">
        <w:t xml:space="preserve">violations and drawing authorities’ attention to the consequences of their actions and omissions with regard to the </w:t>
      </w:r>
      <w:r w:rsidR="00B6795B" w:rsidRPr="000547EC">
        <w:t xml:space="preserve">enjoyment of </w:t>
      </w:r>
      <w:r w:rsidR="00B57FDC" w:rsidRPr="000547EC">
        <w:t xml:space="preserve">human rights, including </w:t>
      </w:r>
      <w:r w:rsidR="0042419F" w:rsidRPr="000547EC">
        <w:t>Covenant</w:t>
      </w:r>
      <w:r w:rsidR="00B6795B" w:rsidRPr="000547EC">
        <w:t xml:space="preserve"> rights</w:t>
      </w:r>
      <w:r w:rsidR="00693289">
        <w:t>.</w:t>
      </w:r>
    </w:p>
    <w:p w14:paraId="43DBD23E" w14:textId="77777777" w:rsidR="0042419F" w:rsidRPr="000547EC" w:rsidRDefault="00B57FDC" w:rsidP="0086281B">
      <w:pPr>
        <w:pStyle w:val="SingleTxtG"/>
        <w:numPr>
          <w:ilvl w:val="0"/>
          <w:numId w:val="9"/>
        </w:numPr>
        <w:ind w:left="1134" w:firstLine="0"/>
      </w:pPr>
      <w:r w:rsidRPr="000547EC">
        <w:t>Past and recent in</w:t>
      </w:r>
      <w:r w:rsidR="0021233C" w:rsidRPr="000547EC">
        <w:t>cidences</w:t>
      </w:r>
      <w:r w:rsidRPr="000547EC">
        <w:t xml:space="preserve"> have caused alarm regarding the situation of h</w:t>
      </w:r>
      <w:r w:rsidR="006722E4" w:rsidRPr="000547EC">
        <w:t>uman rights d</w:t>
      </w:r>
      <w:r w:rsidR="0042419F" w:rsidRPr="000547EC">
        <w:t xml:space="preserve">efenders </w:t>
      </w:r>
      <w:r w:rsidR="006722E4" w:rsidRPr="000547EC">
        <w:t xml:space="preserve">working </w:t>
      </w:r>
      <w:r w:rsidR="00EC12EE">
        <w:t>in the field of</w:t>
      </w:r>
      <w:r w:rsidR="006722E4" w:rsidRPr="000547EC">
        <w:t xml:space="preserve"> </w:t>
      </w:r>
      <w:r w:rsidR="0042419F" w:rsidRPr="000547EC">
        <w:t>economic, social and cultural rights</w:t>
      </w:r>
      <w:r w:rsidR="0021233C" w:rsidRPr="000547EC">
        <w:t xml:space="preserve">. </w:t>
      </w:r>
      <w:r w:rsidR="00B50088">
        <w:t xml:space="preserve">Some of them </w:t>
      </w:r>
      <w:r w:rsidRPr="000547EC">
        <w:t xml:space="preserve">often </w:t>
      </w:r>
      <w:r w:rsidR="00FA1D66" w:rsidRPr="000547EC">
        <w:t xml:space="preserve">face </w:t>
      </w:r>
      <w:r w:rsidR="0042419F" w:rsidRPr="000547EC">
        <w:t xml:space="preserve">risks and threats as a consequence of their work. In 2015, the current Special Rapporteur on the situation of human rights defenders identified those working to defend </w:t>
      </w:r>
      <w:r w:rsidR="0042419F" w:rsidRPr="000547EC">
        <w:lastRenderedPageBreak/>
        <w:t>economic, social and cultural rights as one of the most at-risk groups of defenders.</w:t>
      </w:r>
      <w:r w:rsidR="0042419F" w:rsidRPr="0086281B">
        <w:rPr>
          <w:rStyle w:val="FootnoteReference"/>
        </w:rPr>
        <w:footnoteReference w:id="2"/>
      </w:r>
      <w:r w:rsidR="0042419F" w:rsidRPr="000547EC">
        <w:t xml:space="preserve"> Also in 2015, the United Nations Working Group on Enforced Disappearances stated that “enforced disappearance is used as a repressive measure and a tool to deter the legitimate exercise, defence, or promotion of the enjoyment of economic, social and cultural rights”.</w:t>
      </w:r>
      <w:r w:rsidR="0042419F" w:rsidRPr="0086281B">
        <w:rPr>
          <w:rStyle w:val="FootnoteReference"/>
        </w:rPr>
        <w:footnoteReference w:id="3"/>
      </w:r>
    </w:p>
    <w:p w14:paraId="631D60A6" w14:textId="77777777" w:rsidR="0042419F" w:rsidRPr="000547EC" w:rsidRDefault="0042419F" w:rsidP="0086281B">
      <w:pPr>
        <w:pStyle w:val="SingleTxtG"/>
        <w:numPr>
          <w:ilvl w:val="0"/>
          <w:numId w:val="9"/>
        </w:numPr>
        <w:ind w:left="1134" w:firstLine="0"/>
      </w:pPr>
      <w:r w:rsidRPr="000547EC">
        <w:t xml:space="preserve">The Committee is fully aware of the importance of human rights defenders, </w:t>
      </w:r>
      <w:r w:rsidR="00B57FDC" w:rsidRPr="000547EC">
        <w:t xml:space="preserve">including </w:t>
      </w:r>
      <w:r w:rsidRPr="000547EC">
        <w:t xml:space="preserve">those working in </w:t>
      </w:r>
      <w:r w:rsidR="00B57FDC" w:rsidRPr="000547EC">
        <w:t xml:space="preserve">the field of </w:t>
      </w:r>
      <w:r w:rsidRPr="000547EC">
        <w:t xml:space="preserve">economic, social and cultural rights, being </w:t>
      </w:r>
      <w:r w:rsidR="00B57FDC" w:rsidRPr="000547EC">
        <w:t xml:space="preserve">able </w:t>
      </w:r>
      <w:r w:rsidRPr="000547EC">
        <w:t>to work</w:t>
      </w:r>
      <w:r w:rsidR="00B57FDC" w:rsidRPr="000547EC">
        <w:t xml:space="preserve"> freely</w:t>
      </w:r>
      <w:r w:rsidRPr="000547EC">
        <w:t xml:space="preserve"> without </w:t>
      </w:r>
      <w:r w:rsidR="00B57FDC" w:rsidRPr="000547EC">
        <w:t xml:space="preserve">any </w:t>
      </w:r>
      <w:r w:rsidRPr="000547EC">
        <w:t>threat or fear</w:t>
      </w:r>
      <w:r w:rsidR="00B57FDC" w:rsidRPr="000547EC">
        <w:t xml:space="preserve">. It considers any </w:t>
      </w:r>
      <w:r w:rsidRPr="000547EC">
        <w:t xml:space="preserve">threat or violence against </w:t>
      </w:r>
      <w:r w:rsidR="00BE143E" w:rsidRPr="000547EC">
        <w:t xml:space="preserve">human rights </w:t>
      </w:r>
      <w:r w:rsidRPr="000547EC">
        <w:t>defenders to constitute violations of States’</w:t>
      </w:r>
      <w:r w:rsidR="00EC12EE">
        <w:t xml:space="preserve"> </w:t>
      </w:r>
      <w:r w:rsidRPr="000547EC">
        <w:t>obligations</w:t>
      </w:r>
      <w:r w:rsidR="00BE143E" w:rsidRPr="000547EC">
        <w:t xml:space="preserve"> towards the realization of Covenant rights since human rights defenders also contribute through their work to the fulfilment of Covenant rights</w:t>
      </w:r>
      <w:r w:rsidRPr="000547EC">
        <w:t xml:space="preserve">. For this reason, it has regularly raised the issue in the course of its dialogue with State parties and has expressly referred to it in a number of </w:t>
      </w:r>
      <w:r w:rsidR="00BE143E" w:rsidRPr="000547EC">
        <w:t xml:space="preserve">its </w:t>
      </w:r>
      <w:r w:rsidRPr="000547EC">
        <w:t>concluding observations and general comments.</w:t>
      </w:r>
      <w:r w:rsidR="00D51DC9" w:rsidRPr="000547EC">
        <w:t xml:space="preserve"> In paragraph 51 of its general comment N°18 on the right to work, the Committee</w:t>
      </w:r>
      <w:r w:rsidR="000D3665" w:rsidRPr="000547EC">
        <w:t xml:space="preserve"> </w:t>
      </w:r>
      <w:r w:rsidR="00BA732F" w:rsidRPr="000547EC">
        <w:t xml:space="preserve">states </w:t>
      </w:r>
      <w:r w:rsidR="000D3665" w:rsidRPr="000547EC">
        <w:t>that</w:t>
      </w:r>
      <w:r w:rsidR="00D51DC9" w:rsidRPr="000547EC">
        <w:t xml:space="preserve"> </w:t>
      </w:r>
      <w:r w:rsidR="000D3665" w:rsidRPr="000547EC">
        <w:t xml:space="preserve">“States parties should respect and protect the work of human rights defenders and other members of civil society, in particular the trade unions, who assist disadvantaged and marginalized individuals and groups in the realization of their right to work”. </w:t>
      </w:r>
      <w:r w:rsidR="00BE143E" w:rsidRPr="000547EC">
        <w:t>M</w:t>
      </w:r>
      <w:r w:rsidR="000D3665" w:rsidRPr="000547EC">
        <w:t xml:space="preserve">ost recently, </w:t>
      </w:r>
      <w:r w:rsidRPr="000547EC">
        <w:t>in paragraph 49 of its general comment No. 23 on the right to just and favourable conditions of work, the Committee recalls that “human rights defenders should be able to contribute to the full realization of Covenant rights for all, free from any form of harassment. State parties should respect, protect and promote the work of human rights defenders and other civil society actors towards the realization of the right to just and favourable conditions of work”.</w:t>
      </w:r>
    </w:p>
    <w:p w14:paraId="7911AF1F" w14:textId="77777777" w:rsidR="00BE143E" w:rsidRPr="000547EC" w:rsidRDefault="006722E4" w:rsidP="0086281B">
      <w:pPr>
        <w:pStyle w:val="SingleTxtG"/>
        <w:numPr>
          <w:ilvl w:val="0"/>
          <w:numId w:val="9"/>
        </w:numPr>
        <w:ind w:left="1134" w:firstLine="0"/>
      </w:pPr>
      <w:r w:rsidRPr="000547EC">
        <w:t>I</w:t>
      </w:r>
      <w:r w:rsidR="0042419F" w:rsidRPr="000547EC">
        <w:t>n view of State parties’ obligation</w:t>
      </w:r>
      <w:r w:rsidR="00FA1D66" w:rsidRPr="000547EC">
        <w:t>s</w:t>
      </w:r>
      <w:r w:rsidR="0042419F" w:rsidRPr="000547EC">
        <w:t xml:space="preserve"> to respect, protect and realize the rights e</w:t>
      </w:r>
      <w:r w:rsidR="00BE143E" w:rsidRPr="000547EC">
        <w:t xml:space="preserve">nshrined </w:t>
      </w:r>
      <w:r w:rsidR="0042419F" w:rsidRPr="000547EC">
        <w:t xml:space="preserve">in the Covenant, </w:t>
      </w:r>
      <w:r w:rsidRPr="000547EC">
        <w:t xml:space="preserve">the Committee </w:t>
      </w:r>
      <w:r w:rsidR="00FA1D66" w:rsidRPr="000547EC">
        <w:t>reminds</w:t>
      </w:r>
      <w:r w:rsidRPr="000547EC">
        <w:t xml:space="preserve"> </w:t>
      </w:r>
      <w:r w:rsidR="0042419F" w:rsidRPr="000547EC">
        <w:t xml:space="preserve">State </w:t>
      </w:r>
      <w:r w:rsidRPr="000547EC">
        <w:t xml:space="preserve">parties of their </w:t>
      </w:r>
      <w:r w:rsidR="0042419F" w:rsidRPr="000547EC">
        <w:t xml:space="preserve">responsibility to ensure that human rights defenders are effectively protected against any and all forms of abuse, violence and reprisal which they might experience while carrying out their work to promote the realization of </w:t>
      </w:r>
      <w:r w:rsidR="00BE143E" w:rsidRPr="000547EC">
        <w:t xml:space="preserve">these </w:t>
      </w:r>
      <w:r w:rsidR="0042419F" w:rsidRPr="000547EC">
        <w:t>rights.</w:t>
      </w:r>
      <w:r w:rsidRPr="000547EC">
        <w:t xml:space="preserve"> </w:t>
      </w:r>
    </w:p>
    <w:p w14:paraId="36782AE7" w14:textId="77777777" w:rsidR="00BE143E" w:rsidRPr="000547EC" w:rsidRDefault="006722E4" w:rsidP="0086281B">
      <w:pPr>
        <w:pStyle w:val="SingleTxtG"/>
        <w:numPr>
          <w:ilvl w:val="0"/>
          <w:numId w:val="9"/>
        </w:numPr>
        <w:ind w:left="1134" w:firstLine="0"/>
      </w:pPr>
      <w:r w:rsidRPr="000547EC">
        <w:t xml:space="preserve">The Committee </w:t>
      </w:r>
      <w:r w:rsidR="00BE143E" w:rsidRPr="000547EC">
        <w:t>reaffirms</w:t>
      </w:r>
      <w:r w:rsidRPr="000547EC">
        <w:t xml:space="preserve"> that the </w:t>
      </w:r>
      <w:r w:rsidR="0021233C" w:rsidRPr="000547EC">
        <w:t>i</w:t>
      </w:r>
      <w:r w:rsidRPr="000547EC">
        <w:t>nternational</w:t>
      </w:r>
      <w:r w:rsidR="00EC12EE">
        <w:t xml:space="preserve"> </w:t>
      </w:r>
      <w:r w:rsidR="0021233C" w:rsidRPr="000547EC">
        <w:t>c</w:t>
      </w:r>
      <w:r w:rsidRPr="000547EC">
        <w:t xml:space="preserve">ommunity should deal with </w:t>
      </w:r>
      <w:r w:rsidR="00BE143E" w:rsidRPr="000547EC">
        <w:t>all</w:t>
      </w:r>
      <w:r w:rsidRPr="000547EC">
        <w:t xml:space="preserve"> human rights defenders, including those working on economic, social and cultural rights</w:t>
      </w:r>
      <w:r w:rsidR="00FA1D66" w:rsidRPr="000547EC">
        <w:t>,</w:t>
      </w:r>
      <w:r w:rsidRPr="000547EC">
        <w:t xml:space="preserve"> </w:t>
      </w:r>
      <w:r w:rsidR="00620920" w:rsidRPr="000547EC">
        <w:t>in a fair, equal and even-handed manner</w:t>
      </w:r>
      <w:r w:rsidR="0021233C" w:rsidRPr="000547EC">
        <w:t>.</w:t>
      </w:r>
      <w:r w:rsidR="00EC12EE">
        <w:t xml:space="preserve"> </w:t>
      </w:r>
      <w:r w:rsidR="0021233C" w:rsidRPr="000547EC">
        <w:t>A</w:t>
      </w:r>
      <w:r w:rsidR="00BE143E" w:rsidRPr="000547EC">
        <w:t>ll acts and decisions should be in compliance with the Charter of the United Nations and the Declaration on the Right and Responsibility of Individuals, Groups and Organs of Society to Promote and Protect Universally Recognized Human Rights and Fundamental Freedoms, as well as all relevant human rights instruments.</w:t>
      </w:r>
    </w:p>
    <w:p w14:paraId="3B12B676" w14:textId="77777777" w:rsidR="0086281B" w:rsidRDefault="0042419F" w:rsidP="0086281B">
      <w:pPr>
        <w:pStyle w:val="SingleTxtG"/>
        <w:numPr>
          <w:ilvl w:val="0"/>
          <w:numId w:val="9"/>
        </w:numPr>
        <w:ind w:left="1134" w:firstLine="0"/>
      </w:pPr>
      <w:r w:rsidRPr="000547EC">
        <w:t xml:space="preserve">The specific measures that States should adopt to safeguard the work of human rights defenders are dependent on national </w:t>
      </w:r>
      <w:r w:rsidR="00BE143E" w:rsidRPr="000547EC">
        <w:t>circumstances</w:t>
      </w:r>
      <w:r w:rsidR="008C7B2B" w:rsidRPr="000547EC">
        <w:t>. T</w:t>
      </w:r>
      <w:r w:rsidRPr="000547EC">
        <w:t>he Committee</w:t>
      </w:r>
      <w:r w:rsidR="00DD615E" w:rsidRPr="000547EC">
        <w:t>, however</w:t>
      </w:r>
      <w:r w:rsidRPr="000547EC">
        <w:t xml:space="preserve"> emphasizes that</w:t>
      </w:r>
      <w:r w:rsidR="00DD615E" w:rsidRPr="000547EC">
        <w:t xml:space="preserve"> </w:t>
      </w:r>
      <w:r w:rsidRPr="000547EC">
        <w:t xml:space="preserve">the following </w:t>
      </w:r>
      <w:r w:rsidR="00DD615E" w:rsidRPr="000547EC">
        <w:t xml:space="preserve">measures </w:t>
      </w:r>
      <w:r w:rsidRPr="000547EC">
        <w:t>are</w:t>
      </w:r>
      <w:r w:rsidR="008C7B2B" w:rsidRPr="000547EC">
        <w:t xml:space="preserve"> of</w:t>
      </w:r>
      <w:r w:rsidRPr="000547EC">
        <w:t xml:space="preserve"> crucial</w:t>
      </w:r>
      <w:r w:rsidR="008C7B2B" w:rsidRPr="000547EC">
        <w:t xml:space="preserve"> importance</w:t>
      </w:r>
      <w:r w:rsidRPr="000547EC">
        <w:t>: (</w:t>
      </w:r>
      <w:proofErr w:type="spellStart"/>
      <w:r w:rsidRPr="000547EC">
        <w:t>i</w:t>
      </w:r>
      <w:proofErr w:type="spellEnd"/>
      <w:r w:rsidRPr="000547EC">
        <w:t xml:space="preserve">) public recognition, by the highest State authorities, of the importance and legitimacy of the work of defenders, and </w:t>
      </w:r>
      <w:r w:rsidR="00FA1D66" w:rsidRPr="000547EC">
        <w:t xml:space="preserve">a </w:t>
      </w:r>
      <w:r w:rsidRPr="000547EC">
        <w:t xml:space="preserve">commitment that no violence or threats against them will be tolerated; (ii) repeal of any State </w:t>
      </w:r>
      <w:r w:rsidR="00DD615E" w:rsidRPr="000547EC">
        <w:t xml:space="preserve">legislation </w:t>
      </w:r>
      <w:r w:rsidRPr="000547EC">
        <w:t xml:space="preserve">or </w:t>
      </w:r>
      <w:r w:rsidR="00DD615E" w:rsidRPr="000547EC">
        <w:t xml:space="preserve">elimination of </w:t>
      </w:r>
      <w:r w:rsidR="0021233C" w:rsidRPr="000547EC">
        <w:t xml:space="preserve">any </w:t>
      </w:r>
      <w:r w:rsidR="00DD615E" w:rsidRPr="000547EC">
        <w:t xml:space="preserve"> </w:t>
      </w:r>
      <w:r w:rsidRPr="000547EC">
        <w:t>measure</w:t>
      </w:r>
      <w:r w:rsidR="00DD615E" w:rsidRPr="000547EC">
        <w:t>s</w:t>
      </w:r>
      <w:r w:rsidRPr="000547EC">
        <w:t xml:space="preserve"> that</w:t>
      </w:r>
      <w:r w:rsidR="00DD615E" w:rsidRPr="000547EC">
        <w:t xml:space="preserve"> are intended to</w:t>
      </w:r>
      <w:r w:rsidRPr="000547EC">
        <w:t xml:space="preserve"> penalize or obstruct the work of defenders; (iii) strengthening of State institutions responsible for safeguarding the work of defenders; (iv) investigation and punishment of any form of violence or threat against defenders; (v) </w:t>
      </w:r>
      <w:r w:rsidR="00DD615E" w:rsidRPr="000547EC">
        <w:t xml:space="preserve">adoption and implementation of programmes, </w:t>
      </w:r>
      <w:r w:rsidRPr="000547EC">
        <w:t>in consultation with po</w:t>
      </w:r>
      <w:r w:rsidR="00DD615E" w:rsidRPr="000547EC">
        <w:t xml:space="preserve">tential </w:t>
      </w:r>
      <w:r w:rsidRPr="000547EC">
        <w:t xml:space="preserve">beneficiaries, </w:t>
      </w:r>
      <w:r w:rsidR="00DD615E" w:rsidRPr="000547EC">
        <w:t xml:space="preserve">that are well resourced and have inbuilt coordination mechanisms which ensure that adequate protection measures are provided to defenders </w:t>
      </w:r>
      <w:r w:rsidR="0021233C" w:rsidRPr="000547EC">
        <w:t xml:space="preserve">at risk </w:t>
      </w:r>
      <w:r w:rsidR="000547EC" w:rsidRPr="000547EC">
        <w:t>whenever necessary</w:t>
      </w:r>
      <w:r w:rsidRPr="000547EC">
        <w:t>.</w:t>
      </w:r>
    </w:p>
    <w:p w14:paraId="57EE9ED6" w14:textId="77777777" w:rsidR="0086281B" w:rsidRPr="0086281B" w:rsidRDefault="0086281B" w:rsidP="0086281B">
      <w:pPr>
        <w:pStyle w:val="SingleTxtG"/>
        <w:spacing w:before="240" w:after="0"/>
        <w:jc w:val="center"/>
        <w:rPr>
          <w:u w:val="single"/>
        </w:rPr>
      </w:pPr>
      <w:r>
        <w:rPr>
          <w:u w:val="single"/>
        </w:rPr>
        <w:tab/>
      </w:r>
      <w:r>
        <w:rPr>
          <w:u w:val="single"/>
        </w:rPr>
        <w:tab/>
      </w:r>
      <w:r>
        <w:rPr>
          <w:u w:val="single"/>
        </w:rPr>
        <w:tab/>
      </w:r>
    </w:p>
    <w:sectPr w:rsidR="0086281B" w:rsidRPr="0086281B" w:rsidSect="0042419F">
      <w:headerReference w:type="even" r:id="rId11"/>
      <w:headerReference w:type="default" r:id="rId12"/>
      <w:footerReference w:type="even" r:id="rId13"/>
      <w:footerReference w:type="defaul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C53311" w14:textId="77777777" w:rsidR="005D6627" w:rsidRPr="00701B61" w:rsidRDefault="005D6627" w:rsidP="00701B61">
      <w:pPr>
        <w:pStyle w:val="Footer"/>
      </w:pPr>
    </w:p>
  </w:endnote>
  <w:endnote w:type="continuationSeparator" w:id="0">
    <w:p w14:paraId="23815EE2" w14:textId="77777777" w:rsidR="005D6627" w:rsidRDefault="005D6627" w:rsidP="00247E2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DDA89D" w14:textId="77777777" w:rsidR="00693289" w:rsidRDefault="00693289" w:rsidP="00693289">
    <w:pPr>
      <w:pStyle w:val="Footer"/>
      <w:tabs>
        <w:tab w:val="right" w:pos="9638"/>
      </w:tabs>
    </w:pPr>
    <w:r w:rsidRPr="0042419F">
      <w:rPr>
        <w:b/>
        <w:sz w:val="18"/>
      </w:rPr>
      <w:fldChar w:fldCharType="begin"/>
    </w:r>
    <w:r w:rsidRPr="0042419F">
      <w:rPr>
        <w:b/>
        <w:sz w:val="18"/>
      </w:rPr>
      <w:instrText xml:space="preserve"> PAGE  \* MERGEFORMAT </w:instrText>
    </w:r>
    <w:r w:rsidRPr="0042419F">
      <w:rPr>
        <w:b/>
        <w:sz w:val="18"/>
      </w:rPr>
      <w:fldChar w:fldCharType="separate"/>
    </w:r>
    <w:r w:rsidR="00B07909">
      <w:rPr>
        <w:b/>
        <w:noProof/>
        <w:sz w:val="18"/>
      </w:rPr>
      <w:t>2</w:t>
    </w:r>
    <w:r w:rsidRPr="0042419F">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906AB" w14:textId="77777777" w:rsidR="0042419F" w:rsidRPr="0042419F" w:rsidRDefault="0042419F" w:rsidP="0042419F">
    <w:pPr>
      <w:pStyle w:val="Footer"/>
      <w:tabs>
        <w:tab w:val="right" w:pos="9638"/>
      </w:tabs>
    </w:pPr>
    <w:r>
      <w:t>GE.16-17031</w:t>
    </w:r>
    <w:r w:rsidR="00693289">
      <w:tab/>
    </w:r>
    <w:r w:rsidR="00693289" w:rsidRPr="0042419F">
      <w:rPr>
        <w:b/>
        <w:sz w:val="18"/>
      </w:rPr>
      <w:fldChar w:fldCharType="begin"/>
    </w:r>
    <w:r w:rsidR="00693289" w:rsidRPr="0042419F">
      <w:rPr>
        <w:b/>
        <w:sz w:val="18"/>
      </w:rPr>
      <w:instrText xml:space="preserve"> PAGE  \* MERGEFORMAT </w:instrText>
    </w:r>
    <w:r w:rsidR="00693289" w:rsidRPr="0042419F">
      <w:rPr>
        <w:b/>
        <w:sz w:val="18"/>
      </w:rPr>
      <w:fldChar w:fldCharType="separate"/>
    </w:r>
    <w:r w:rsidR="000B5F04">
      <w:rPr>
        <w:b/>
        <w:noProof/>
        <w:sz w:val="18"/>
      </w:rPr>
      <w:t>3</w:t>
    </w:r>
    <w:r w:rsidR="00693289" w:rsidRPr="0042419F">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670480" w14:textId="77777777" w:rsidR="005D6627" w:rsidRPr="00701B61" w:rsidRDefault="005D6627" w:rsidP="00701B61">
      <w:pPr>
        <w:tabs>
          <w:tab w:val="right" w:pos="2155"/>
        </w:tabs>
        <w:spacing w:after="80" w:line="240" w:lineRule="auto"/>
        <w:ind w:left="680"/>
      </w:pPr>
      <w:r>
        <w:rPr>
          <w:u w:val="single"/>
        </w:rPr>
        <w:tab/>
      </w:r>
    </w:p>
  </w:footnote>
  <w:footnote w:type="continuationSeparator" w:id="0">
    <w:p w14:paraId="2A3384C4" w14:textId="77777777" w:rsidR="005D6627" w:rsidRPr="00701B61" w:rsidRDefault="005D6627" w:rsidP="00701B61">
      <w:pPr>
        <w:tabs>
          <w:tab w:val="right" w:pos="2155"/>
        </w:tabs>
        <w:spacing w:after="80" w:line="240" w:lineRule="auto"/>
        <w:ind w:left="680"/>
      </w:pPr>
      <w:r>
        <w:rPr>
          <w:u w:val="single"/>
        </w:rPr>
        <w:tab/>
      </w:r>
    </w:p>
  </w:footnote>
  <w:footnote w:id="1">
    <w:p w14:paraId="4BF23877" w14:textId="77777777" w:rsidR="00693289" w:rsidRDefault="00693289" w:rsidP="00693289">
      <w:pPr>
        <w:pStyle w:val="FootnoteText"/>
        <w:ind w:firstLine="0"/>
      </w:pPr>
      <w:r>
        <w:rPr>
          <w:rStyle w:val="FootnoteReference"/>
        </w:rPr>
        <w:t>*</w:t>
      </w:r>
      <w:r>
        <w:t xml:space="preserve"> </w:t>
      </w:r>
      <w:r>
        <w:tab/>
        <w:t>The present statement, which was a</w:t>
      </w:r>
      <w:r w:rsidRPr="00F02B5A">
        <w:t>dopted by the Committee at its fifty-</w:t>
      </w:r>
      <w:r>
        <w:t>nin</w:t>
      </w:r>
      <w:r w:rsidRPr="00F02B5A">
        <w:t>th session</w:t>
      </w:r>
      <w:r>
        <w:t>, held from 19</w:t>
      </w:r>
      <w:r w:rsidRPr="00F02B5A">
        <w:t xml:space="preserve"> </w:t>
      </w:r>
      <w:r>
        <w:t xml:space="preserve">September to 7 </w:t>
      </w:r>
      <w:r w:rsidR="0086281B">
        <w:t xml:space="preserve">October </w:t>
      </w:r>
      <w:r w:rsidRPr="00F02B5A">
        <w:t>201</w:t>
      </w:r>
      <w:r>
        <w:t xml:space="preserve">6, was prepared pursuant to the Committee’s practice on the adoption of statements (see </w:t>
      </w:r>
      <w:r w:rsidRPr="0047012F">
        <w:rPr>
          <w:i/>
        </w:rPr>
        <w:t>Official Records of the Economic and Social Council</w:t>
      </w:r>
      <w:r w:rsidRPr="0047012F">
        <w:t xml:space="preserve">, </w:t>
      </w:r>
      <w:r w:rsidRPr="0047012F">
        <w:rPr>
          <w:i/>
          <w:iCs/>
        </w:rPr>
        <w:t>2011</w:t>
      </w:r>
      <w:r w:rsidRPr="0047012F">
        <w:t xml:space="preserve">, </w:t>
      </w:r>
      <w:r w:rsidRPr="0047012F">
        <w:rPr>
          <w:i/>
        </w:rPr>
        <w:t>Supplement No. 2</w:t>
      </w:r>
      <w:r w:rsidRPr="0047012F">
        <w:t xml:space="preserve"> (E/2011/22), chap. II,</w:t>
      </w:r>
      <w:r>
        <w:t xml:space="preserve"> sect. K)</w:t>
      </w:r>
      <w:r w:rsidRPr="0047012F">
        <w:t>.</w:t>
      </w:r>
    </w:p>
  </w:footnote>
  <w:footnote w:id="2">
    <w:p w14:paraId="266D1083" w14:textId="77777777" w:rsidR="0042419F" w:rsidRPr="0042419F" w:rsidRDefault="0042419F" w:rsidP="0042419F">
      <w:pPr>
        <w:pStyle w:val="FootnoteText"/>
        <w:jc w:val="both"/>
        <w:rPr>
          <w:lang w:val="es-ES"/>
        </w:rPr>
      </w:pPr>
      <w:r>
        <w:rPr>
          <w:lang w:val="es-ES"/>
        </w:rPr>
        <w:tab/>
      </w:r>
      <w:r w:rsidRPr="0042419F">
        <w:rPr>
          <w:rStyle w:val="FootnoteReference"/>
        </w:rPr>
        <w:footnoteRef/>
      </w:r>
      <w:r>
        <w:rPr>
          <w:lang w:val="es-ES"/>
        </w:rPr>
        <w:tab/>
      </w:r>
      <w:r w:rsidRPr="0042419F">
        <w:rPr>
          <w:lang w:val="es-ES"/>
        </w:rPr>
        <w:t>A/68/262</w:t>
      </w:r>
      <w:r w:rsidR="007D64FD">
        <w:rPr>
          <w:lang w:val="es-ES"/>
        </w:rPr>
        <w:t>.</w:t>
      </w:r>
    </w:p>
  </w:footnote>
  <w:footnote w:id="3">
    <w:p w14:paraId="411F3EEB" w14:textId="77777777" w:rsidR="0042419F" w:rsidRPr="00F3208D" w:rsidRDefault="0042419F" w:rsidP="0042419F">
      <w:pPr>
        <w:pStyle w:val="FootnoteText"/>
        <w:jc w:val="both"/>
      </w:pPr>
      <w:r>
        <w:rPr>
          <w:lang w:val="es-ES"/>
        </w:rPr>
        <w:tab/>
      </w:r>
      <w:r w:rsidRPr="0042419F">
        <w:rPr>
          <w:rStyle w:val="FootnoteReference"/>
        </w:rPr>
        <w:footnoteRef/>
      </w:r>
      <w:r>
        <w:rPr>
          <w:lang w:val="es-ES"/>
        </w:rPr>
        <w:tab/>
      </w:r>
      <w:r w:rsidRPr="0042419F">
        <w:rPr>
          <w:lang w:val="es-ES"/>
        </w:rPr>
        <w:t xml:space="preserve">A/HRC/30/38/Add.5, para. </w:t>
      </w:r>
      <w:r>
        <w:t>33</w:t>
      </w:r>
      <w:r w:rsidR="007D64FD">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015524" w14:textId="77777777" w:rsidR="0042419F" w:rsidRPr="00693289" w:rsidRDefault="00693289" w:rsidP="00693289">
    <w:pPr>
      <w:pStyle w:val="Header"/>
    </w:pPr>
    <w:r w:rsidRPr="00693289">
      <w:t>E/C.12/2016/2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E95011" w14:textId="77777777" w:rsidR="0042419F" w:rsidRPr="00693289" w:rsidRDefault="00693289" w:rsidP="00693289">
    <w:pPr>
      <w:pStyle w:val="Header"/>
      <w:jc w:val="right"/>
    </w:pPr>
    <w:r w:rsidRPr="00693289">
      <w:t>E/C.12/2016/2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B318C0"/>
    <w:multiLevelType w:val="hybridMultilevel"/>
    <w:tmpl w:val="80D613A8"/>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991499"/>
    <w:multiLevelType w:val="hybridMultilevel"/>
    <w:tmpl w:val="9BD009B6"/>
    <w:lvl w:ilvl="0" w:tplc="5578373E">
      <w:start w:val="1"/>
      <w:numFmt w:val="decimal"/>
      <w:lvlText w:val="%1."/>
      <w:lvlJc w:val="left"/>
      <w:pPr>
        <w:ind w:left="4330" w:hanging="360"/>
      </w:pPr>
      <w:rPr>
        <w:b w:val="0"/>
        <w:color w:val="auto"/>
      </w:rPr>
    </w:lvl>
    <w:lvl w:ilvl="1" w:tplc="C438138C">
      <w:start w:val="1"/>
      <w:numFmt w:val="lowerLetter"/>
      <w:lvlText w:val="%2)"/>
      <w:lvlJc w:val="left"/>
      <w:pPr>
        <w:ind w:left="5551" w:hanging="360"/>
      </w:pPr>
      <w:rPr>
        <w:b w:val="0"/>
      </w:rPr>
    </w:lvl>
    <w:lvl w:ilvl="2" w:tplc="0409001B">
      <w:start w:val="1"/>
      <w:numFmt w:val="lowerRoman"/>
      <w:lvlText w:val="%3."/>
      <w:lvlJc w:val="right"/>
      <w:pPr>
        <w:ind w:left="6271" w:hanging="180"/>
      </w:pPr>
    </w:lvl>
    <w:lvl w:ilvl="3" w:tplc="0409000F">
      <w:start w:val="1"/>
      <w:numFmt w:val="decimal"/>
      <w:lvlText w:val="%4."/>
      <w:lvlJc w:val="left"/>
      <w:pPr>
        <w:ind w:left="6991" w:hanging="360"/>
      </w:pPr>
    </w:lvl>
    <w:lvl w:ilvl="4" w:tplc="04090019">
      <w:start w:val="1"/>
      <w:numFmt w:val="lowerLetter"/>
      <w:lvlText w:val="%5."/>
      <w:lvlJc w:val="left"/>
      <w:pPr>
        <w:ind w:left="7711" w:hanging="360"/>
      </w:pPr>
    </w:lvl>
    <w:lvl w:ilvl="5" w:tplc="0409001B">
      <w:start w:val="1"/>
      <w:numFmt w:val="lowerRoman"/>
      <w:lvlText w:val="%6."/>
      <w:lvlJc w:val="right"/>
      <w:pPr>
        <w:ind w:left="8431" w:hanging="180"/>
      </w:pPr>
    </w:lvl>
    <w:lvl w:ilvl="6" w:tplc="0409000F">
      <w:start w:val="1"/>
      <w:numFmt w:val="decimal"/>
      <w:lvlText w:val="%7."/>
      <w:lvlJc w:val="left"/>
      <w:pPr>
        <w:ind w:left="9151" w:hanging="360"/>
      </w:pPr>
    </w:lvl>
    <w:lvl w:ilvl="7" w:tplc="04090019">
      <w:start w:val="1"/>
      <w:numFmt w:val="lowerLetter"/>
      <w:lvlText w:val="%8."/>
      <w:lvlJc w:val="left"/>
      <w:pPr>
        <w:ind w:left="9871" w:hanging="360"/>
      </w:pPr>
    </w:lvl>
    <w:lvl w:ilvl="8" w:tplc="0409001B">
      <w:start w:val="1"/>
      <w:numFmt w:val="lowerRoman"/>
      <w:lvlText w:val="%9."/>
      <w:lvlJc w:val="right"/>
      <w:pPr>
        <w:ind w:left="10591" w:hanging="180"/>
      </w:pPr>
    </w:lvl>
  </w:abstractNum>
  <w:abstractNum w:abstractNumId="6" w15:restartNumberingAfterBreak="0">
    <w:nsid w:val="5218272E"/>
    <w:multiLevelType w:val="hybridMultilevel"/>
    <w:tmpl w:val="B8760DE8"/>
    <w:lvl w:ilvl="0" w:tplc="208AD898">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7"/>
  </w:num>
  <w:num w:numId="5">
    <w:abstractNumId w:val="8"/>
  </w:num>
  <w:num w:numId="6">
    <w:abstractNumId w:val="9"/>
  </w:num>
  <w:num w:numId="7">
    <w:abstractNumId w:val="2"/>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567"/>
  <w:hyphenationZone w:val="425"/>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6E1"/>
    <w:rsid w:val="00046E92"/>
    <w:rsid w:val="00053DD2"/>
    <w:rsid w:val="000547EC"/>
    <w:rsid w:val="00055D8E"/>
    <w:rsid w:val="00081247"/>
    <w:rsid w:val="000B5F04"/>
    <w:rsid w:val="000D3665"/>
    <w:rsid w:val="00111E90"/>
    <w:rsid w:val="00130F4B"/>
    <w:rsid w:val="0014613A"/>
    <w:rsid w:val="00177FF8"/>
    <w:rsid w:val="0021233C"/>
    <w:rsid w:val="002134B0"/>
    <w:rsid w:val="00247E2C"/>
    <w:rsid w:val="002567EB"/>
    <w:rsid w:val="00293F39"/>
    <w:rsid w:val="002B0A46"/>
    <w:rsid w:val="002D6C53"/>
    <w:rsid w:val="002F5595"/>
    <w:rsid w:val="00334F6A"/>
    <w:rsid w:val="00342AC8"/>
    <w:rsid w:val="003B4550"/>
    <w:rsid w:val="0042419F"/>
    <w:rsid w:val="00427E66"/>
    <w:rsid w:val="00445661"/>
    <w:rsid w:val="00461253"/>
    <w:rsid w:val="005042C2"/>
    <w:rsid w:val="0055374B"/>
    <w:rsid w:val="005A4085"/>
    <w:rsid w:val="005D6627"/>
    <w:rsid w:val="00620920"/>
    <w:rsid w:val="00671529"/>
    <w:rsid w:val="006722E4"/>
    <w:rsid w:val="00693289"/>
    <w:rsid w:val="006C5B4A"/>
    <w:rsid w:val="006C6A01"/>
    <w:rsid w:val="006E6C31"/>
    <w:rsid w:val="006F2D02"/>
    <w:rsid w:val="00701B61"/>
    <w:rsid w:val="007268F9"/>
    <w:rsid w:val="00733EB4"/>
    <w:rsid w:val="007C2BD5"/>
    <w:rsid w:val="007C52B0"/>
    <w:rsid w:val="007D5AF4"/>
    <w:rsid w:val="007D64FD"/>
    <w:rsid w:val="00840B35"/>
    <w:rsid w:val="0086281B"/>
    <w:rsid w:val="008C7B2B"/>
    <w:rsid w:val="00935639"/>
    <w:rsid w:val="009411B4"/>
    <w:rsid w:val="009D0139"/>
    <w:rsid w:val="009F5CDC"/>
    <w:rsid w:val="00A00DE1"/>
    <w:rsid w:val="00A775CF"/>
    <w:rsid w:val="00AA131C"/>
    <w:rsid w:val="00B06045"/>
    <w:rsid w:val="00B07909"/>
    <w:rsid w:val="00B50088"/>
    <w:rsid w:val="00B57FDC"/>
    <w:rsid w:val="00B6795B"/>
    <w:rsid w:val="00B8271A"/>
    <w:rsid w:val="00B9134A"/>
    <w:rsid w:val="00BA732F"/>
    <w:rsid w:val="00BE143E"/>
    <w:rsid w:val="00C35A27"/>
    <w:rsid w:val="00C961AC"/>
    <w:rsid w:val="00D51DC9"/>
    <w:rsid w:val="00DC118F"/>
    <w:rsid w:val="00DD615E"/>
    <w:rsid w:val="00E02C2B"/>
    <w:rsid w:val="00EC12EE"/>
    <w:rsid w:val="00ED6C48"/>
    <w:rsid w:val="00F36CC9"/>
    <w:rsid w:val="00F65F5D"/>
    <w:rsid w:val="00F86A3A"/>
    <w:rsid w:val="00FA1D66"/>
    <w:rsid w:val="00FD06E1"/>
    <w:rsid w:val="00FF59D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9952E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08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callout,Footnote Refernece,Footnote Reference Number,Fußnotenzeichen_Raxen,BVI fnr,Fago Fußnotenzeichen,Appel note de bas de p.,ftref,referencia nota al pie,4_Footnote text,Footnote text,Footnotes refss,Texto de nota al pie,f,fr"/>
    <w:link w:val="BVIfnrCharCharCharCharCharCharCharZchnCharCharCharCharCharChar"/>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6C6A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A01"/>
    <w:rPr>
      <w:rFonts w:ascii="Tahoma" w:eastAsia="Times New Roman" w:hAnsi="Tahoma" w:cs="Tahoma"/>
      <w:sz w:val="16"/>
      <w:szCs w:val="16"/>
      <w:lang w:eastAsia="en-US"/>
    </w:rPr>
  </w:style>
  <w:style w:type="character" w:customStyle="1" w:styleId="SingleTxtGChar">
    <w:name w:val="_ Single Txt_G Char"/>
    <w:link w:val="SingleTxtG"/>
    <w:locked/>
    <w:rsid w:val="00B57FDC"/>
    <w:rPr>
      <w:rFonts w:ascii="Times New Roman" w:hAnsi="Times New Roman" w:cs="Times New Roman"/>
      <w:sz w:val="20"/>
      <w:szCs w:val="20"/>
    </w:rPr>
  </w:style>
  <w:style w:type="paragraph" w:customStyle="1" w:styleId="BVIfnrCharCharCharCharCharCharCharZchnCharCharCharCharCharChar">
    <w:name w:val="BVI fnr Char Char Char Char Char Char Char Zchn Char Char Char Char Char Char"/>
    <w:aliases w:val="ftref Char,Footnote Reference Char,ftref Char Char Char"/>
    <w:basedOn w:val="Normal"/>
    <w:link w:val="FootnoteReference"/>
    <w:rsid w:val="00130F4B"/>
    <w:pPr>
      <w:suppressAutoHyphens w:val="0"/>
      <w:spacing w:after="160" w:line="240" w:lineRule="exact"/>
    </w:pPr>
    <w:rPr>
      <w:rFonts w:eastAsia="SimSun" w:cstheme="minorBidi"/>
      <w:sz w:val="18"/>
      <w:szCs w:val="22"/>
      <w:vertAlign w:val="superscript"/>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95668">
      <w:bodyDiv w:val="1"/>
      <w:marLeft w:val="0"/>
      <w:marRight w:val="0"/>
      <w:marTop w:val="0"/>
      <w:marBottom w:val="0"/>
      <w:divBdr>
        <w:top w:val="none" w:sz="0" w:space="0" w:color="auto"/>
        <w:left w:val="none" w:sz="0" w:space="0" w:color="auto"/>
        <w:bottom w:val="none" w:sz="0" w:space="0" w:color="auto"/>
        <w:right w:val="none" w:sz="0" w:space="0" w:color="auto"/>
      </w:divBdr>
    </w:div>
    <w:div w:id="331183621">
      <w:bodyDiv w:val="1"/>
      <w:marLeft w:val="0"/>
      <w:marRight w:val="0"/>
      <w:marTop w:val="0"/>
      <w:marBottom w:val="0"/>
      <w:divBdr>
        <w:top w:val="none" w:sz="0" w:space="0" w:color="auto"/>
        <w:left w:val="none" w:sz="0" w:space="0" w:color="auto"/>
        <w:bottom w:val="none" w:sz="0" w:space="0" w:color="auto"/>
        <w:right w:val="none" w:sz="0" w:space="0" w:color="auto"/>
      </w:divBdr>
    </w:div>
    <w:div w:id="644552118">
      <w:bodyDiv w:val="1"/>
      <w:marLeft w:val="0"/>
      <w:marRight w:val="0"/>
      <w:marTop w:val="0"/>
      <w:marBottom w:val="0"/>
      <w:divBdr>
        <w:top w:val="none" w:sz="0" w:space="0" w:color="auto"/>
        <w:left w:val="none" w:sz="0" w:space="0" w:color="auto"/>
        <w:bottom w:val="none" w:sz="0" w:space="0" w:color="auto"/>
        <w:right w:val="none" w:sz="0" w:space="0" w:color="auto"/>
      </w:divBdr>
    </w:div>
    <w:div w:id="1280919124">
      <w:bodyDiv w:val="1"/>
      <w:marLeft w:val="0"/>
      <w:marRight w:val="0"/>
      <w:marTop w:val="0"/>
      <w:marBottom w:val="0"/>
      <w:divBdr>
        <w:top w:val="none" w:sz="0" w:space="0" w:color="auto"/>
        <w:left w:val="none" w:sz="0" w:space="0" w:color="auto"/>
        <w:bottom w:val="none" w:sz="0" w:space="0" w:color="auto"/>
        <w:right w:val="none" w:sz="0" w:space="0" w:color="auto"/>
      </w:divBdr>
    </w:div>
    <w:div w:id="198418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5446AB3680AD04583FFC0D2A3BEC2EA" ma:contentTypeVersion="0" ma:contentTypeDescription="Create a new document." ma:contentTypeScope="" ma:versionID="4a6605c3c1876c8c4c7bf4e29f5e256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8DCFA-0540-40B5-9C5A-0EB4ADDE976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A2BA3DE-F3EE-47E6-9772-CAED4FF6A0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DDF8A7E-37F3-4423-BB0C-07024D7A862B}">
  <ds:schemaRefs>
    <ds:schemaRef ds:uri="http://schemas.microsoft.com/sharepoint/v3/contenttype/forms"/>
  </ds:schemaRefs>
</ds:datastoreItem>
</file>

<file path=customXml/itemProps4.xml><?xml version="1.0" encoding="utf-8"?>
<ds:datastoreItem xmlns:ds="http://schemas.openxmlformats.org/officeDocument/2006/customXml" ds:itemID="{57A766B9-199B-49D6-B866-77A7AC5D6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942</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1617031</vt:lpstr>
    </vt:vector>
  </TitlesOfParts>
  <Company>DCM</Company>
  <LinksUpToDate>false</LinksUpToDate>
  <CharactersWithSpaces>6112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1617031</dc:title>
  <dc:subject>E/C.12/59/INFORMAL/1</dc:subject>
  <dc:creator>Escalante</dc:creator>
  <dc:description>final</dc:description>
  <cp:lastModifiedBy>Phil Lynch</cp:lastModifiedBy>
  <cp:revision>2</cp:revision>
  <cp:lastPrinted>2016-10-06T14:14:00Z</cp:lastPrinted>
  <dcterms:created xsi:type="dcterms:W3CDTF">2016-10-11T07:24:00Z</dcterms:created>
  <dcterms:modified xsi:type="dcterms:W3CDTF">2016-10-11T07:24:00Z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0x010100B5446AB3680AD04583FFC0D2A3BEC2EA</vt:lpwstr>
  </property>
</Properties>
</file>